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831d5_8k.htm"/>
      <w:bookmarkStart w:id="1" w:name="kstm262831d5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6_edei--DocumentType_c2026021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CURRENT REPORT 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val="false"/>
          <w:i w:val="false"/>
          <w:caps w:val="false"/>
          <w:smallCaps w:val="false"/>
          <w:sz w:val="20"/>
          <w:shd w:fill="FFFFFF" w:val="clear"/>
        </w:rPr>
        <w:t>February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7_edei--EntityRegistrantName_dxL_c"/>
      <w:bookmarkEnd w:id="4"/>
      <w:r>
        <w:rPr>
          <w:rFonts w:ascii="Times New Roman;Times;Serif" w:hAnsi="Times New Roman;Times;Serif"/>
          <w:b/>
          <w:i w:val="false"/>
          <w:caps w:val="false"/>
          <w:smallCaps w:val="false"/>
          <w:sz w:val="28"/>
        </w:rPr>
        <w:t>Evolution Petroleum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bookmarkStart w:id="5" w:name="xdx_902_edei--EntityFileNumber_c20260211"/>
      <w:bookmarkEnd w:id="5"/>
      <w:r>
        <w:rPr>
          <w:rFonts w:ascii="Times New Roman;Times;Serif" w:hAnsi="Times New Roman;Times;Serif"/>
          <w:b/>
          <w:i w:val="false"/>
          <w:caps w:val="false"/>
          <w:smallCaps w:val="false"/>
          <w:sz w:val="20"/>
        </w:rPr>
        <w:t>001-32942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3635"/>
        <w:gridCol w:w="2915"/>
      </w:tblGrid>
      <w:tr>
        <w:trPr/>
        <w:tc>
          <w:tcPr>
            <w:tcW w:w="3635" w:type="dxa"/>
            <w:tcBorders/>
            <w:vAlign w:val="center"/>
          </w:tcPr>
          <w:p>
            <w:pPr>
              <w:pStyle w:val="TableContents"/>
              <w:bidi w:val="0"/>
              <w:spacing w:before="0" w:after="283"/>
              <w:jc w:val="center"/>
              <w:rPr>
                <w:b/>
                <w:sz w:val="20"/>
              </w:rPr>
            </w:pPr>
            <w:bookmarkStart w:id="6" w:name="xdx_90E_edei--EntityIncorporationStateCo"/>
            <w:bookmarkEnd w:id="6"/>
            <w:r>
              <w:rPr>
                <w:b/>
                <w:sz w:val="20"/>
              </w:rPr>
              <w:t>Nevada</w:t>
            </w:r>
          </w:p>
        </w:tc>
        <w:tc>
          <w:tcPr>
            <w:tcW w:w="2915" w:type="dxa"/>
            <w:tcBorders/>
            <w:vAlign w:val="center"/>
          </w:tcPr>
          <w:p>
            <w:pPr>
              <w:pStyle w:val="TableContents"/>
              <w:bidi w:val="0"/>
              <w:spacing w:before="0" w:after="283"/>
              <w:jc w:val="center"/>
              <w:rPr>
                <w:b/>
                <w:sz w:val="20"/>
              </w:rPr>
            </w:pPr>
            <w:bookmarkStart w:id="7" w:name="xdx_902_edei--EntityTaxIdentificationNum"/>
            <w:bookmarkEnd w:id="7"/>
            <w:r>
              <w:rPr>
                <w:b/>
                <w:sz w:val="20"/>
              </w:rPr>
              <w:t>41-1781991</w:t>
            </w:r>
          </w:p>
        </w:tc>
      </w:tr>
      <w:tr>
        <w:trPr/>
        <w:tc>
          <w:tcPr>
            <w:tcW w:w="3635" w:type="dxa"/>
            <w:tcBorders/>
            <w:vAlign w:val="center"/>
          </w:tcPr>
          <w:p>
            <w:pPr>
              <w:pStyle w:val="TableContents"/>
              <w:bidi w:val="0"/>
              <w:spacing w:before="0" w:after="283"/>
              <w:jc w:val="center"/>
              <w:rPr>
                <w:sz w:val="20"/>
              </w:rPr>
            </w:pPr>
            <w:r>
              <w:rPr>
                <w:sz w:val="20"/>
              </w:rPr>
              <w:t>(State or Other Jurisdiction of Incorporation)</w:t>
            </w:r>
          </w:p>
        </w:tc>
        <w:tc>
          <w:tcPr>
            <w:tcW w:w="2915"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4475"/>
        <w:gridCol w:w="920"/>
      </w:tblGrid>
      <w:tr>
        <w:trPr/>
        <w:tc>
          <w:tcPr>
            <w:tcW w:w="4475" w:type="dxa"/>
            <w:tcBorders/>
            <w:vAlign w:val="center"/>
          </w:tcPr>
          <w:p>
            <w:pPr>
              <w:pStyle w:val="TableContents"/>
              <w:bidi w:val="0"/>
              <w:spacing w:before="0" w:after="283"/>
              <w:jc w:val="center"/>
              <w:rPr>
                <w:b/>
                <w:sz w:val="20"/>
              </w:rPr>
            </w:pPr>
            <w:bookmarkStart w:id="8" w:name="xdx_90D_edei--EntityAddressAddressLine1_"/>
            <w:bookmarkEnd w:id="8"/>
            <w:r>
              <w:rPr>
                <w:b/>
                <w:sz w:val="20"/>
              </w:rPr>
              <w:t xml:space="preserve">1155 Dairy Ashford Road, </w:t>
            </w:r>
            <w:bookmarkStart w:id="9" w:name="xdx_908_edei--EntityAddressAddressLine2_"/>
            <w:bookmarkEnd w:id="9"/>
            <w:r>
              <w:rPr>
                <w:b/>
                <w:sz w:val="20"/>
              </w:rPr>
              <w:t xml:space="preserve">Suite 425, </w:t>
            </w:r>
            <w:bookmarkStart w:id="10" w:name="xdx_90D_edei--EntityAddressCityOrTown_c2"/>
            <w:bookmarkEnd w:id="10"/>
            <w:r>
              <w:rPr>
                <w:b/>
                <w:sz w:val="20"/>
              </w:rPr>
              <w:t xml:space="preserve">Houston, </w:t>
            </w:r>
            <w:bookmarkStart w:id="11" w:name="xdx_90E_edei--EntityAddressStateOrProvin"/>
            <w:bookmarkEnd w:id="11"/>
            <w:r>
              <w:rPr>
                <w:b/>
                <w:sz w:val="20"/>
              </w:rPr>
              <w:t>Texas</w:t>
            </w:r>
          </w:p>
        </w:tc>
        <w:tc>
          <w:tcPr>
            <w:tcW w:w="920" w:type="dxa"/>
            <w:tcBorders/>
            <w:vAlign w:val="center"/>
          </w:tcPr>
          <w:p>
            <w:pPr>
              <w:pStyle w:val="TableContents"/>
              <w:bidi w:val="0"/>
              <w:spacing w:before="0" w:after="283"/>
              <w:jc w:val="center"/>
              <w:rPr>
                <w:b/>
                <w:sz w:val="20"/>
              </w:rPr>
            </w:pPr>
            <w:bookmarkStart w:id="12" w:name="xdx_90D_edei--EntityAddressPostalZipCode"/>
            <w:bookmarkEnd w:id="12"/>
            <w:r>
              <w:rPr>
                <w:b/>
                <w:sz w:val="20"/>
              </w:rPr>
              <w:t>77079</w:t>
            </w:r>
          </w:p>
        </w:tc>
      </w:tr>
      <w:tr>
        <w:trPr/>
        <w:tc>
          <w:tcPr>
            <w:tcW w:w="447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60211__20"/>
      <w:bookmarkEnd w:id="13"/>
      <w:r>
        <w:rPr>
          <w:rFonts w:ascii="Times New Roman;Times;Serif" w:hAnsi="Times New Roman;Times;Serif"/>
          <w:b/>
          <w:i w:val="false"/>
          <w:caps w:val="false"/>
          <w:smallCaps w:val="false"/>
          <w:sz w:val="20"/>
        </w:rPr>
        <w:t xml:space="preserve">713) </w:t>
      </w:r>
      <w:bookmarkStart w:id="14" w:name="xdx_90A_edei--LocalPhoneNumber_c20260211"/>
      <w:bookmarkEnd w:id="14"/>
      <w:r>
        <w:rPr>
          <w:rFonts w:ascii="Times New Roman;Times;Serif" w:hAnsi="Times New Roman;Times;Serif"/>
          <w:b/>
          <w:i w:val="false"/>
          <w:caps w:val="false"/>
          <w:smallCaps w:val="false"/>
          <w:sz w:val="20"/>
        </w:rPr>
        <w:t>935-0122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5" w:name="xdx_90B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6" w:name="xdx_904_edei--SolicitingMaterial_c202602"/>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7" w:name="xdx_902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18" w:name="xdx_909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bidi w:val="0"/>
        <w:spacing w:before="0" w:after="0"/>
        <w:ind w:left="0" w:right="0" w:firstLine="49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30" w:type="dxa"/>
          <w:right w:w="0" w:type="dxa"/>
        </w:tblCellMar>
      </w:tblPr>
      <w:tblGrid>
        <w:gridCol w:w="2750"/>
        <w:gridCol w:w="60"/>
        <w:gridCol w:w="1610"/>
        <w:gridCol w:w="60"/>
        <w:gridCol w:w="3950"/>
      </w:tblGrid>
      <w:tr>
        <w:trPr/>
        <w:tc>
          <w:tcPr>
            <w:tcW w:w="275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95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50" w:type="dxa"/>
            <w:tcBorders/>
            <w:tcMar>
              <w:bottom w:w="0" w:type="dxa"/>
            </w:tcMar>
            <w:vAlign w:val="center"/>
          </w:tcPr>
          <w:p>
            <w:pPr>
              <w:pStyle w:val="TableContents"/>
              <w:bidi w:val="0"/>
              <w:spacing w:before="0" w:after="283"/>
              <w:jc w:val="center"/>
              <w:rPr>
                <w:sz w:val="20"/>
              </w:rPr>
            </w:pPr>
            <w:bookmarkStart w:id="19" w:name="xdx_90D_edei--Security12bTitle_c20260211"/>
            <w:bookmarkEnd w:id="19"/>
            <w:r>
              <w:rPr>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sz w:val="20"/>
              </w:rPr>
            </w:pPr>
            <w:bookmarkStart w:id="20" w:name="xdx_909_edei--TradingSymbol_c20260211__2"/>
            <w:bookmarkEnd w:id="20"/>
            <w:r>
              <w:rPr>
                <w:sz w:val="20"/>
              </w:rPr>
              <w:t>EPM</w:t>
            </w:r>
          </w:p>
        </w:tc>
        <w:tc>
          <w:tcPr>
            <w:tcW w:w="60" w:type="dxa"/>
            <w:tcBorders/>
            <w:tcMar>
              <w:bottom w:w="0" w:type="dxa"/>
            </w:tcMar>
            <w:vAlign w:val="center"/>
          </w:tcPr>
          <w:p>
            <w:pPr>
              <w:pStyle w:val="TableContents"/>
              <w:bidi w:val="0"/>
              <w:spacing w:before="0" w:after="283"/>
              <w:jc w:val="left"/>
              <w:rPr/>
            </w:pPr>
            <w:r>
              <w:rPr/>
              <w:t> </w:t>
            </w:r>
          </w:p>
        </w:tc>
        <w:tc>
          <w:tcPr>
            <w:tcW w:w="3950" w:type="dxa"/>
            <w:tcBorders/>
            <w:tcMar>
              <w:bottom w:w="0" w:type="dxa"/>
            </w:tcMar>
            <w:vAlign w:val="center"/>
          </w:tcPr>
          <w:p>
            <w:pPr>
              <w:pStyle w:val="TableContents"/>
              <w:bidi w:val="0"/>
              <w:spacing w:before="0" w:after="283"/>
              <w:jc w:val="center"/>
              <w:rPr>
                <w:sz w:val="20"/>
              </w:rPr>
            </w:pPr>
            <w:bookmarkStart w:id="21" w:name="xdx_90C_edei--SecurityExchangeName_c2026"/>
            <w:bookmarkEnd w:id="21"/>
            <w:r>
              <w:rPr>
                <w:sz w:val="20"/>
              </w:rPr>
              <w:t>NYSE American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83"/>
        <w:jc w:val="left"/>
        <w:rPr/>
      </w:pPr>
      <w:r>
        <w:rPr/>
        <w:t> </w:t>
      </w:r>
    </w:p>
    <w:tbl>
      <w:tblPr>
        <w:tblW w:w="3260" w:type="dxa"/>
        <w:jc w:val="left"/>
        <w:tblInd w:w="0" w:type="dxa"/>
        <w:tblLayout w:type="fixed"/>
        <w:tblCellMar>
          <w:top w:w="0" w:type="dxa"/>
          <w:left w:w="0" w:type="dxa"/>
          <w:bottom w:w="0" w:type="dxa"/>
          <w:right w:w="0" w:type="dxa"/>
        </w:tblCellMar>
      </w:tblPr>
      <w:tblGrid>
        <w:gridCol w:w="75"/>
        <w:gridCol w:w="3185"/>
      </w:tblGrid>
      <w:tr>
        <w:trPr/>
        <w:tc>
          <w:tcPr>
            <w:tcW w:w="75"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right"/>
              <w:rPr/>
            </w:pPr>
            <w:r>
              <w:rPr/>
              <w:t>     </w:t>
            </w:r>
            <w:r>
              <w:rPr>
                <w:sz w:val="20"/>
              </w:rPr>
              <w:t>Emerging growth company      </w:t>
            </w:r>
            <w:bookmarkStart w:id="22" w:name="xdx_902_edei--EntityEmergingGrowthCompan"/>
            <w:bookmarkEnd w:id="22"/>
            <w:r>
              <w:rPr>
                <w:rFonts w:ascii="Wingdings" w:hAnsi="Wingdings"/>
                <w:sz w:val="20"/>
              </w:rPr>
              <w:t xml:space="preserve">o </w:t>
            </w:r>
          </w:p>
        </w:tc>
      </w:tr>
    </w:tbl>
    <w:p>
      <w:pPr>
        <w:pStyle w:val="TextBody"/>
        <w:bidi w:val="0"/>
        <w:spacing w:before="0" w:after="283"/>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11, 2026, Evolution Petroleum Corporation (the “Company,” “we” or “our”) entered into a Sales Agreement (the “Sales Agreement”) with Roth Capital Partners, LLC (the “Lead Agent”), Northland Securities Inc. (“Northland”), and A.G.P./Alliance Global Partners (“AGP” and, together with the Lead Agent and Northland, the “Agents”) pursuant to which the Company may issue and sell, from time to time, up to $30,000,000 shares of common stock, par value $0.001 per share (the “Common Stock”), through or to the Lead Agent, acting as agent or principal.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obligated to sell any shares of Common Stock under the Sales Agreement. Each time the Company wishes to issue and sell the Common Stock under the Sales Agreement, the Company will provide the Lead Agent with a placement notice describing the amount of Common Stock to be sold, the time period during which sales are requested to be made, any limitation on the amount of Common Stock that may be sold in any single day, any minimum price below which sales may not be made or any minimum price requested for sales in a given time period and any other instructions relevant to such requested sales. Subject to the terms and conditions of the Sales Agreement, the Lead Agent will use commercially reasonable efforts, consistent with its normal trading and sales practices, and applicable state and federal laws, rules and regulations and the rules of the NYSE American to sell shares of Common Stock under the terms and subject to the conditions of the placement notice and the Sales Agreement. We or the Lead Agent may suspend the offering of Common Stock pursuant to a placement notice upon notice and subject to other conditions. Generally, the Lead Agent may sell the shares of Common Stock by any method permitted by law deemed to be an “at the market offering” as defined by Rule 415(a)(4) promulgated under the Securities Act of 1933, as amended, including sales made directly on or through the NYSE American or any other existing trading market for the Common Stock, in negotiated transactions at market prices prevailing at the time of sale or at prices related to prevailing market prices, or any other method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Agreement provides that the Lead Agent will be entitled to compensation at a fixed commission rate of 3.00% of the gross proceeds from the sale of our Common Stock on our behalf pursuant to the Sales Agreement. We have agreed to reimburse the Agents for their reasonable and documented out-of-pocket expenses (including but not limited to the reasonable and documented fees and expenses of their legal counsel) in an amount not to exceed $50,000, in connection with entering into the Sales Agreement and for the Agents’ reasonable and documented out-of-pocket expenses related to quarterly maintenance of the Sales Agreement (including but not limited to the reasonable and documented fees and expenses of its legal counsel) on a quarterly basis in an amount not to exceed $7,500. The Sales Agreement contains customary representations, warranties and agreements by the Company, indemnification obligations of the Company and the Agents, other obligations of the parties and termination provisions.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will be issued pursuant to the Company’s effective shelf registration statement on Form S-3 (File No. 333-292785), filed with the Securities and Exchange Commission (the “SEC”) on January 16, 2026 and declared effective by the SEC on January 27, 2026, and the accompanying base prospectus included therein as supplemented by the prospectus supplement, dated February 11, 2026,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Sales Agreement is not complete and is qualified in its entirety by reference to the full text of such agreement, a copy of which is filed herewith as Exhibit 1.1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and consent of Fennemore Craig, P.C. relating to the shares of Common Stock being offered and sold pursuant to the Sales Agreement is attached hereto as Exhibit 5.1.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shall not constitute an offer to sell or the solicitation of an offer to buy any shares under the Sales Agreement, nor shall there be any sale of such shares in any state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980"/>
        <w:gridCol w:w="980"/>
      </w:tblGrid>
      <w:tr>
        <w:trPr/>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9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283"/>
              <w:jc w:val="left"/>
              <w:rPr/>
            </w:pPr>
            <w:hyperlink w:anchor="tm262831d5_ex1-1.htm">
              <w:r>
                <w:rPr>
                  <w:rStyle w:val="InternetLink"/>
                  <w:rFonts w:ascii="Times New Roman;Times;Serif" w:hAnsi="Times New Roman;Times;Serif"/>
                  <w:sz w:val="20"/>
                </w:rPr>
                <w:t>1.1</w:t>
              </w:r>
            </w:hyperlink>
          </w:p>
        </w:tc>
        <w:tc>
          <w:tcPr>
            <w:tcW w:w="9810" w:type="dxa"/>
            <w:tcBorders/>
            <w:vAlign w:val="center"/>
          </w:tcPr>
          <w:p>
            <w:pPr>
              <w:pStyle w:val="TableContents"/>
              <w:bidi w:val="0"/>
              <w:spacing w:before="0" w:after="283"/>
              <w:jc w:val="both"/>
              <w:rPr/>
            </w:pPr>
            <w:hyperlink w:anchor="tm262831d5_ex1-1.htm">
              <w:r>
                <w:rPr>
                  <w:rStyle w:val="InternetLink"/>
                  <w:rFonts w:ascii="Times New Roman;Times;Serif" w:hAnsi="Times New Roman;Times;Serif"/>
                  <w:sz w:val="20"/>
                </w:rPr>
                <w:t>Sales Agreement, dated as of February 11, 2026 by and among the Company, Roth Capital Partners, LLC, Northland Securities Inc. and A.G.P./Alliance Global Partners.</w:t>
              </w:r>
            </w:hyperlink>
          </w:p>
        </w:tc>
      </w:tr>
      <w:tr>
        <w:trPr/>
        <w:tc>
          <w:tcPr>
            <w:tcW w:w="395" w:type="dxa"/>
            <w:tcBorders/>
            <w:vAlign w:val="center"/>
          </w:tcPr>
          <w:p>
            <w:pPr>
              <w:pStyle w:val="TableContents"/>
              <w:bidi w:val="0"/>
              <w:spacing w:before="0" w:after="283"/>
              <w:jc w:val="left"/>
              <w:rPr/>
            </w:pPr>
            <w:hyperlink w:anchor="tm262831d5_ex5-1.htm">
              <w:r>
                <w:rPr>
                  <w:rStyle w:val="InternetLink"/>
                  <w:rFonts w:ascii="Times New Roman;Times;Serif" w:hAnsi="Times New Roman;Times;Serif"/>
                  <w:sz w:val="20"/>
                </w:rPr>
                <w:t>5.1</w:t>
              </w:r>
            </w:hyperlink>
          </w:p>
        </w:tc>
        <w:tc>
          <w:tcPr>
            <w:tcW w:w="9810" w:type="dxa"/>
            <w:tcBorders/>
            <w:vAlign w:val="center"/>
          </w:tcPr>
          <w:p>
            <w:pPr>
              <w:pStyle w:val="TableContents"/>
              <w:bidi w:val="0"/>
              <w:spacing w:before="0" w:after="283"/>
              <w:jc w:val="left"/>
              <w:rPr/>
            </w:pPr>
            <w:hyperlink w:anchor="tm262831d5_ex5-1.htm">
              <w:r>
                <w:rPr>
                  <w:rStyle w:val="InternetLink"/>
                  <w:rFonts w:ascii="Times New Roman;Times;Serif" w:hAnsi="Times New Roman;Times;Serif"/>
                  <w:sz w:val="20"/>
                </w:rPr>
                <w:t xml:space="preserve">Opinion of </w:t>
              </w:r>
            </w:hyperlink>
            <w:hyperlink w:anchor="tm262831d5_ex5-1.htm">
              <w:r>
                <w:rPr>
                  <w:rStyle w:val="InternetLink"/>
                  <w:rFonts w:ascii="Times New Roman;Times;Serif" w:hAnsi="Times New Roman;Times;Serif"/>
                </w:rPr>
                <w:t xml:space="preserve">Fennemore Craig, P.C. </w:t>
              </w:r>
            </w:hyperlink>
          </w:p>
        </w:tc>
      </w:tr>
      <w:tr>
        <w:trPr/>
        <w:tc>
          <w:tcPr>
            <w:tcW w:w="395" w:type="dxa"/>
            <w:tcBorders/>
            <w:vAlign w:val="center"/>
          </w:tcPr>
          <w:p>
            <w:pPr>
              <w:pStyle w:val="TableContents"/>
              <w:bidi w:val="0"/>
              <w:spacing w:before="0" w:after="283"/>
              <w:jc w:val="left"/>
              <w:rPr/>
            </w:pPr>
            <w:hyperlink w:anchor="tm262831d5_ex5-1.htm">
              <w:r>
                <w:rPr>
                  <w:rStyle w:val="InternetLink"/>
                  <w:rFonts w:ascii="Times New Roman;Times;Serif" w:hAnsi="Times New Roman;Times;Serif"/>
                  <w:sz w:val="20"/>
                </w:rPr>
                <w:t>23.1</w:t>
              </w:r>
            </w:hyperlink>
          </w:p>
        </w:tc>
        <w:tc>
          <w:tcPr>
            <w:tcW w:w="9810" w:type="dxa"/>
            <w:tcBorders/>
            <w:vAlign w:val="center"/>
          </w:tcPr>
          <w:p>
            <w:pPr>
              <w:pStyle w:val="TableContents"/>
              <w:bidi w:val="0"/>
              <w:spacing w:before="0" w:after="283"/>
              <w:jc w:val="left"/>
              <w:rPr/>
            </w:pPr>
            <w:hyperlink w:anchor="tm262831d5_ex5-1.htm">
              <w:r>
                <w:rPr>
                  <w:rStyle w:val="InternetLink"/>
                  <w:rFonts w:ascii="Times New Roman;Times;Serif" w:hAnsi="Times New Roman;Times;Serif"/>
                  <w:sz w:val="20"/>
                </w:rPr>
                <w:t>Consent of Fennemore Craig, P.C. (contained in Exhibit 5.1). </w:t>
              </w:r>
            </w:hyperlink>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98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65" w:type="dxa"/>
        <w:jc w:val="left"/>
        <w:tblInd w:w="0" w:type="dxa"/>
        <w:tblLayout w:type="fixed"/>
        <w:tblCellMar>
          <w:top w:w="0" w:type="dxa"/>
          <w:left w:w="0" w:type="dxa"/>
          <w:bottom w:w="0" w:type="dxa"/>
          <w:right w:w="0" w:type="dxa"/>
        </w:tblCellMar>
      </w:tblPr>
      <w:tblGrid>
        <w:gridCol w:w="2375"/>
        <w:gridCol w:w="320"/>
        <w:gridCol w:w="545"/>
        <w:gridCol w:w="4025"/>
      </w:tblGrid>
      <w:tr>
        <w:trPr/>
        <w:tc>
          <w:tcPr>
            <w:tcW w:w="2375" w:type="dxa"/>
            <w:tcBorders/>
            <w:vAlign w:val="center"/>
          </w:tcPr>
          <w:p>
            <w:pPr>
              <w:pStyle w:val="TableContents"/>
              <w:bidi w:val="0"/>
              <w:spacing w:before="0" w:after="283"/>
              <w:jc w:val="left"/>
              <w:rPr/>
            </w:pPr>
            <w:r>
              <w:rPr>
                <w:rFonts w:ascii="Times New Roman;Times;Serif" w:hAnsi="Times New Roman;Times;Serif"/>
                <w:sz w:val="20"/>
              </w:rPr>
              <w:t xml:space="preserve">Dated: </w:t>
            </w:r>
            <w:r>
              <w:rPr>
                <w:rFonts w:ascii="Times New Roman;Times;Serif" w:hAnsi="Times New Roman;Times;Serif"/>
              </w:rPr>
              <w:t>February 11, 2026</w:t>
            </w:r>
          </w:p>
        </w:tc>
        <w:tc>
          <w:tcPr>
            <w:tcW w:w="4890" w:type="dxa"/>
            <w:gridSpan w:val="3"/>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4890" w:type="dxa"/>
            <w:gridSpan w:val="3"/>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4890" w:type="dxa"/>
            <w:gridSpan w:val="3"/>
            <w:tcBorders/>
            <w:vAlign w:val="center"/>
          </w:tcPr>
          <w:p>
            <w:pPr>
              <w:pStyle w:val="TableContents"/>
              <w:bidi w:val="0"/>
              <w:spacing w:before="0" w:after="283"/>
              <w:jc w:val="left"/>
              <w:rPr/>
            </w:pPr>
            <w:r>
              <w:rPr/>
              <w:t>Evolution Petroleum Corporation (Registrant)</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7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Ryan Stash</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Ryan Stash</w:t>
            </w:r>
          </w:p>
        </w:tc>
      </w:tr>
      <w:tr>
        <w:trPr/>
        <w:tc>
          <w:tcPr>
            <w:tcW w:w="23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0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831d5_ex1-1.htm"/>
      <w:bookmarkStart w:id="24" w:name="kstm262831d5_ex11"/>
      <w:bookmarkEnd w:id="23"/>
      <w:bookmarkEnd w:id="24"/>
      <w:r>
        <w:rPr/>
        <w:t> </w:t>
      </w:r>
      <w:r>
        <w:br w:type="page"/>
      </w:r>
    </w:p>
    <w:p>
      <w:pPr>
        <w:pStyle w:val="TextBody"/>
        <w:bidi w:val="0"/>
        <w:jc w:val="right"/>
        <w:rPr>
          <w:b/>
        </w:rPr>
      </w:pPr>
      <w:r>
        <w:rPr>
          <w:b/>
        </w:rPr>
        <w:t>Exhibit 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$30,000,000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($0.001 par value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Agreement</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 as Lead Agent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 Drive, Suite 400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South Fifth Street, Suite 3300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Minnesota 55402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 Madison Avenue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Petroleum Corporation,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confirms its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with Roth Capital Partners, LLC (the “</w:t>
      </w:r>
      <w:r>
        <w:rPr>
          <w:rFonts w:ascii="Times New Roman;Times;Serif" w:hAnsi="Times New Roman;Times;Serif"/>
          <w:b w:val="false"/>
          <w:i w:val="false"/>
          <w:caps w:val="false"/>
          <w:smallCaps w:val="false"/>
          <w:sz w:val="20"/>
          <w:u w:val="single"/>
        </w:rPr>
        <w:t>Lead Agent</w:t>
      </w:r>
      <w:r>
        <w:rPr>
          <w:rFonts w:ascii="Times New Roman;Times;Serif" w:hAnsi="Times New Roman;Times;Serif"/>
          <w:b w:val="false"/>
          <w:i w:val="false"/>
          <w:caps w:val="false"/>
          <w:smallCaps w:val="false"/>
          <w:sz w:val="20"/>
        </w:rPr>
        <w:t>”), Northland Securities, Inc. (“</w:t>
      </w:r>
      <w:r>
        <w:rPr>
          <w:rFonts w:ascii="Times New Roman;Times;Serif" w:hAnsi="Times New Roman;Times;Serif"/>
          <w:b w:val="false"/>
          <w:i w:val="false"/>
          <w:caps w:val="false"/>
          <w:smallCaps w:val="false"/>
          <w:sz w:val="20"/>
          <w:u w:val="single"/>
        </w:rPr>
        <w:t>Northland</w:t>
      </w:r>
      <w:r>
        <w:rPr>
          <w:rFonts w:ascii="Times New Roman;Times;Serif" w:hAnsi="Times New Roman;Times;Serif"/>
          <w:b w:val="false"/>
          <w:i w:val="false"/>
          <w:caps w:val="false"/>
          <w:smallCaps w:val="false"/>
          <w:sz w:val="20"/>
        </w:rPr>
        <w:t>”) and A.G.P./Alliance Global Partners (“</w:t>
      </w:r>
      <w:r>
        <w:rPr>
          <w:rFonts w:ascii="Times New Roman;Times;Serif" w:hAnsi="Times New Roman;Times;Serif"/>
          <w:b w:val="false"/>
          <w:i w:val="false"/>
          <w:caps w:val="false"/>
          <w:smallCaps w:val="false"/>
          <w:sz w:val="20"/>
          <w:u w:val="single"/>
        </w:rPr>
        <w:t>AGP</w:t>
      </w:r>
      <w:r>
        <w:rPr>
          <w:rFonts w:ascii="Times New Roman;Times;Serif" w:hAnsi="Times New Roman;Times;Serif"/>
          <w:b w:val="false"/>
          <w:i w:val="false"/>
          <w:caps w:val="false"/>
          <w:smallCaps w:val="false"/>
          <w:sz w:val="20"/>
        </w:rPr>
        <w:t>,” and together with the Lead Agent and Northland, the “</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and each, an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              </w:t>
      </w:r>
      <w:r>
        <w:rPr>
          <w:rFonts w:ascii="Times New Roman;Times;Serif" w:hAnsi="Times New Roman;Times;Serif"/>
          <w:b w:val="false"/>
          <w:i w:val="false"/>
          <w:caps w:val="false"/>
          <w:smallCaps w:val="false"/>
          <w:sz w:val="20"/>
          <w:u w:val="single"/>
        </w:rPr>
        <w:t>Issuance and Sale of Shares</w:t>
      </w:r>
      <w:r>
        <w:rPr>
          <w:rFonts w:ascii="Times New Roman;Times;Serif" w:hAnsi="Times New Roman;Times;Serif"/>
          <w:b w:val="false"/>
          <w:i w:val="false"/>
          <w:caps w:val="false"/>
          <w:smallCaps w:val="false"/>
          <w:sz w:val="20"/>
        </w:rPr>
        <w:t>. The Company agrees that, from time to time during the term of this Agreement, on the terms and subject to the conditions set forth herein, it may issue and sell through or to the Agents, shares (the “</w:t>
      </w:r>
      <w:r>
        <w:rPr>
          <w:rFonts w:ascii="Times New Roman;Times;Serif" w:hAnsi="Times New Roman;Times;Serif"/>
          <w:b w:val="false"/>
          <w:i w:val="false"/>
          <w:caps w:val="false"/>
          <w:smallCaps w:val="false"/>
          <w:sz w:val="20"/>
          <w:u w:val="single"/>
        </w:rPr>
        <w:t>Placement Shares</w:t>
      </w:r>
      <w:r>
        <w:rPr>
          <w:rFonts w:ascii="Times New Roman;Times;Serif" w:hAnsi="Times New Roman;Times;Serif"/>
          <w:b w:val="false"/>
          <w:i w:val="false"/>
          <w:caps w:val="false"/>
          <w:smallCaps w:val="false"/>
          <w:sz w:val="20"/>
        </w:rPr>
        <w:t>”) of common stock of the Company, $0.001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xml:space="preserve">”) having an aggregate offering price of up to $30,000,000,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in no event shall the Company issue or sell through the Agents such number of Placement Shares that exceeds (a) the number or dollar amount of shares of Common Stock that may be sold pursuant to the Registration Statement (as defined below), (b) the number or dollar amount of shares of Common Stock for which the Company has filed any Prospectus Supplement (as defined below) or (c) exceeds the number of authorized but unissued shares of Common Stock of the Company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Notwithstanding anything to the contrary contained herein, the parties hereto agree that compliance with the limitations set forth in this Section 1 on the amount of Placement Shares issued and sold under this Agreement shall be the sole responsibility of the Company and that the Agents shall have no obligation in connection with such compliance. The issuance and sale of Placement Shares through or to the Agents will be effected pursuant to the Registration Statement (as defined below) filed by the Company and declared effective by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although nothing in this Agreement shall be construed as requiring the Company to use the Registration Statement to issue any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S-3 (File No. 333-292785),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and the rules and regulations thereunder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The Company has prepared a prospectus supplement specifically relating to the Placement Shares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to the base prospectus included as part of such registration statement. The Company will furnish to the Agents, for use by the Agents, copies of the prospectus included as part of such registration statement, as supplemented by the Prospectus Supplement relating to the Placement Shares. Except where the context otherwise requires, such registration statement, and any post-effective amendment thereto, including all documents filed as part thereof or incorporated by reference therein, and including any information contained in a Prospectus (as defined below) subsequently filed with the Commission pursuant to Rule 424(b) under the Securities Act or deemed to be a part of such registration statement pursuant to Rule 430B of the Securities Act, or any subsequent registration statement on Form S-3 filed pursuant to Rule 415(a)(6) under the Securities Act by the Company to cover any Placement Shares, is herein called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The base prospectus, including all documents incorporated therein by reference, included in the Registration Statement, as it may be supplemented by the Prospectus Supplement, in the form in which such prospectus and/or Prospectus Supplement have most recently been filed by the Company with the Commission pursuant to Rule 424(b) under the Securities Act, together with any then issued Issuer Free Writing Prospectus (defined below),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herein to the Registration Statement, the Prospectus or any amendment or supplement thereto, shall be deemed to refer to and include the documents incorporated or deemed to be incorporated by reference therein, and any reference herein to the terms “amend,” “amendment” or “supplement” with respect to the Registration Statement or the Prospectus shall be deemed to refer to and include the filing after the execution hereof of any document with the Commission deemed to be incorporated by reference therein (the “</w:t>
      </w:r>
      <w:r>
        <w:rPr>
          <w:rFonts w:ascii="Times New Roman;Times;Serif" w:hAnsi="Times New Roman;Times;Serif"/>
          <w:b w:val="false"/>
          <w:i w:val="false"/>
          <w:caps w:val="false"/>
          <w:smallCaps w:val="false"/>
          <w:sz w:val="20"/>
          <w:u w:val="single"/>
        </w:rPr>
        <w:t>Incorporated Documents</w:t>
      </w:r>
      <w:r>
        <w:rPr>
          <w:rFonts w:ascii="Times New Roman;Times;Serif" w:hAnsi="Times New Roman;Times;Serif"/>
          <w:b w:val="false"/>
          <w:i w:val="false"/>
          <w:caps w:val="false"/>
          <w:smallCaps w:val="false"/>
          <w:sz w:val="20"/>
        </w:rPr>
        <w:t>”). For purposes of this Agreement, all references to the Registration Statement, the Prospectus or to any amendment or supplement thereto shall be deemed to include any copy filed with the Commission pursuant to its Electronic Data Gathering Analysis and Retrieval System, or if applicable, the Interactive Data Electronic Application system when used by the Commission (collectively,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             </w:t>
      </w:r>
      <w:r>
        <w:rPr>
          <w:rFonts w:ascii="Times New Roman;Times;Serif" w:hAnsi="Times New Roman;Times;Serif"/>
          <w:b w:val="false"/>
          <w:i w:val="false"/>
          <w:caps w:val="false"/>
          <w:smallCaps w:val="false"/>
          <w:sz w:val="20"/>
          <w:u w:val="single"/>
        </w:rPr>
        <w:t>Placements</w:t>
      </w:r>
      <w:r>
        <w:rPr>
          <w:rFonts w:ascii="Times New Roman;Times;Serif" w:hAnsi="Times New Roman;Times;Serif"/>
          <w:b w:val="false"/>
          <w:i w:val="false"/>
          <w:caps w:val="false"/>
          <w:smallCaps w:val="false"/>
          <w:sz w:val="20"/>
        </w:rPr>
        <w:t>. For purposes of selling the Placement Shares through the Agents, the Company hereby appoints the Lead Agent as exclusive agent of the Company pursuant to this Agreement. Each time that the Company wishes to issue and sell Placement Shares hereunder (each, a “</w:t>
      </w:r>
      <w:r>
        <w:rPr>
          <w:rFonts w:ascii="Times New Roman;Times;Serif" w:hAnsi="Times New Roman;Times;Serif"/>
          <w:b w:val="false"/>
          <w:i w:val="false"/>
          <w:caps w:val="false"/>
          <w:smallCaps w:val="false"/>
          <w:sz w:val="20"/>
          <w:u w:val="single"/>
        </w:rPr>
        <w:t>Placement</w:t>
      </w:r>
      <w:r>
        <w:rPr>
          <w:rFonts w:ascii="Times New Roman;Times;Serif" w:hAnsi="Times New Roman;Times;Serif"/>
          <w:b w:val="false"/>
          <w:i w:val="false"/>
          <w:caps w:val="false"/>
          <w:smallCaps w:val="false"/>
          <w:sz w:val="20"/>
        </w:rPr>
        <w:t>”), it will notify the Lead Agent by email notice (or other method mutually agreed to in writing by the parties) of the number or dollar value of Placement Shares, the time period during which sales are requested to be made, any limitation on the number of Placement Shares that may be sold in any one day and any minimum price below which sales may not be made (a “</w:t>
      </w:r>
      <w:r>
        <w:rPr>
          <w:rFonts w:ascii="Times New Roman;Times;Serif" w:hAnsi="Times New Roman;Times;Serif"/>
          <w:b w:val="false"/>
          <w:i w:val="false"/>
          <w:caps w:val="false"/>
          <w:smallCaps w:val="false"/>
          <w:sz w:val="20"/>
          <w:u w:val="single"/>
        </w:rPr>
        <w:t>Placement Notice</w:t>
      </w:r>
      <w:r>
        <w:rPr>
          <w:rFonts w:ascii="Times New Roman;Times;Serif" w:hAnsi="Times New Roman;Times;Serif"/>
          <w:b w:val="false"/>
          <w:i w:val="false"/>
          <w:caps w:val="false"/>
          <w:smallCaps w:val="false"/>
          <w:sz w:val="20"/>
        </w:rPr>
        <w:t>”), the form of which is attached hereto as Schedule 1. The Placement Notice shall originate from any of the individuals from the Company set forth on Schedule 3 (with a copy to each of the other individuals from the Company listed on such schedule), and shall be addressed to each of the individuals from the Lead Agent set forth on Schedule 3, as such Schedule 3 may be amended from time to time. The Placement Notice shall be effective unless and until (i) the Lead Agent declines to accept the terms contained therein for any reason, in its sole discretion by email notice to the Company within one Business Day (as defined below) from the time the Placement Notice is received, (ii) the entire amount of the Placement Shares thereunder have been sold, (iii) the Company suspends or terminates the Placement Notice (including, but not limited to, by means of a subsequent Placement Notice that explicitly indicates that the parameters of the subsequent Placement Notice supersede those parameters contained in the earlier dated Placement Notice), or (iv) this Agreement has been terminated under the provisions of Section 12. The amount of any discount, commission or other compensation to be paid by the Company to the Lead Agent in connection with the sale of the Placement Shares shall be calculated in accordance with the terms set forth in Schedule 2. It is expressly acknowledged and agreed that neither the Company nor the Lead Agent will have any obligation whatsoever with respect to a Placement or any Placement Shares unless and until the Company delivers a Placement Notice to the Lead Agent and the Lead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3.             </w:t>
      </w:r>
      <w:r>
        <w:rPr>
          <w:rFonts w:ascii="Times New Roman;Times;Serif" w:hAnsi="Times New Roman;Times;Serif"/>
          <w:b w:val="false"/>
          <w:i w:val="false"/>
          <w:caps w:val="false"/>
          <w:smallCaps w:val="false"/>
          <w:sz w:val="20"/>
          <w:u w:val="single"/>
        </w:rPr>
        <w:t>Sale of Placement Shares by the Lead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Subject to the provisions of Section 5(a), the Lead Agent, for the period specified in the Placement Notice, will use its commercially reasonable efforts consistent with its normal trading and sales practices and applicable state and federal laws, rules and regulations and the rules of the NYSE American (the “</w:t>
      </w:r>
      <w:r>
        <w:rPr>
          <w:rFonts w:ascii="Times New Roman;Times;Serif" w:hAnsi="Times New Roman;Times;Serif"/>
          <w:b w:val="false"/>
          <w:i w:val="false"/>
          <w:caps w:val="false"/>
          <w:smallCaps w:val="false"/>
          <w:sz w:val="20"/>
          <w:u w:val="single"/>
        </w:rPr>
        <w:t>Exchange</w:t>
      </w:r>
      <w:r>
        <w:rPr>
          <w:rFonts w:ascii="Times New Roman;Times;Serif" w:hAnsi="Times New Roman;Times;Serif"/>
          <w:b w:val="false"/>
          <w:i w:val="false"/>
          <w:caps w:val="false"/>
          <w:smallCaps w:val="false"/>
          <w:sz w:val="20"/>
        </w:rPr>
        <w:t>”), for the period specified in the Placement Notice to sell the Placement Shares up to the amount specified in, and otherwise in accordance with the terms of, such Placement Notice. The Lead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Lead Agent pursuant to Section 2 with respect to such sales, and the Net Proceeds (as defined below) payable to the Company, with an itemization of the deductions made by the Lead Agent (as set forth in Section 5(b)) from the gross proceeds that it receives from such sales. Subject to the terms of a Placement Notice, the Lead Agent may sell Placement Shares by any method permitted by law deemed to be an “at the market offering” as defined in Rule 415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4.             </w:t>
      </w:r>
      <w:r>
        <w:rPr>
          <w:rFonts w:ascii="Times New Roman;Times;Serif" w:hAnsi="Times New Roman;Times;Serif"/>
          <w:b w:val="false"/>
          <w:i w:val="false"/>
          <w:caps w:val="false"/>
          <w:smallCaps w:val="false"/>
          <w:sz w:val="20"/>
          <w:u w:val="single"/>
        </w:rPr>
        <w:t>Suspension of Sales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The Company or the Lead Agent may, upon notice to the other party in writing (including by email correspondence to each of the individuals of the other party set forth on Schedule 3,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Schedule 3), suspend any sale of Placement Shares (a “</w:t>
      </w:r>
      <w:r>
        <w:rPr>
          <w:rFonts w:ascii="Times New Roman;Times;Serif" w:hAnsi="Times New Roman;Times;Serif"/>
          <w:b w:val="false"/>
          <w:i w:val="false"/>
          <w:caps w:val="false"/>
          <w:smallCaps w:val="false"/>
          <w:sz w:val="20"/>
          <w:u w:val="single"/>
        </w:rPr>
        <w:t>Suspension</w:t>
      </w:r>
      <w:r>
        <w:rPr>
          <w:rFonts w:ascii="Times New Roman;Times;Serif" w:hAnsi="Times New Roman;Times;Serif"/>
          <w:b w:val="false"/>
          <w:i w:val="false"/>
          <w:caps w:val="false"/>
          <w:smallCaps w:val="false"/>
          <w:sz w:val="20"/>
        </w:rPr>
        <w:t xml:space="preserve">”); provided, however, that such suspension shall not affect or impair any party’s obligations with respect to any Placement Shares sold hereunder prior to the receipt of such notice. While a Suspension is in effect, any obligation under </w:t>
      </w:r>
      <w:r>
        <w:rPr>
          <w:rFonts w:ascii="Times New Roman;Times;Serif" w:hAnsi="Times New Roman;Times;Serif"/>
          <w:b w:val="false"/>
          <w:i w:val="false"/>
          <w:caps w:val="false"/>
          <w:smallCaps w:val="false"/>
          <w:sz w:val="20"/>
          <w:u w:val="single"/>
        </w:rPr>
        <w:t>Sections 7(l)</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7(m)</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7(n)</w:t>
      </w:r>
      <w:r>
        <w:rPr>
          <w:rFonts w:ascii="Times New Roman;Times;Serif" w:hAnsi="Times New Roman;Times;Serif"/>
          <w:b w:val="false"/>
          <w:i w:val="false"/>
          <w:caps w:val="false"/>
          <w:smallCaps w:val="false"/>
          <w:sz w:val="20"/>
        </w:rPr>
        <w:t xml:space="preserve"> with respect to the delivery of certificates, opinions, or comfort letters to the Agents, shall be waived; provided, however, that the Company acknowledges and agrees that delivery of such certificates, opinions, or comfort letters may be required prior to resuming sales of Placement Shares. Each of the parties agrees that no such notice under this Section 4 shall be effective against any other party unless it is made to one of the individuals named on Schedule 3 hereto, as such Schedule may be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Notwithstanding any other provision of this Agreement, during any period in which the Company is in possession of material non-public information, the Company and the Lead Agent agree that (i) no sale of Placement Shares will take place, (ii) the Company shall not request the sale of any Placement Shares, and (iii) the Lead Agent shall not be obligated to sell or offer to sell any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5.             </w:t>
      </w:r>
      <w:r>
        <w:rPr>
          <w:rFonts w:ascii="Times New Roman;Times;Serif" w:hAnsi="Times New Roman;Times;Serif"/>
          <w:b w:val="false"/>
          <w:i w:val="false"/>
          <w:caps w:val="false"/>
          <w:smallCaps w:val="false"/>
          <w:sz w:val="20"/>
          <w:u w:val="single"/>
        </w:rPr>
        <w:t>Sale and Delivery to the Lead Agent; Settlement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Sale of Placement Shares</w:t>
      </w:r>
      <w:r>
        <w:rPr>
          <w:rFonts w:ascii="Times New Roman;Times;Serif" w:hAnsi="Times New Roman;Times;Serif"/>
          <w:b w:val="false"/>
          <w:i w:val="false"/>
          <w:caps w:val="false"/>
          <w:smallCaps w:val="false"/>
          <w:sz w:val="20"/>
        </w:rPr>
        <w:t>. On the basis of the representations and warranties herein contained and subject to the terms and conditions herein set forth, upon the Lead Agent’s acceptance of the terms of a Placement Notice, and unless the sale of the Placement Shares described therein has been declined, suspended, or otherwise terminated in accordance with the terms of this Agreement, the Lead Agent, for the period specified in the Placement Notice, will use its commercially reasonable efforts consistent with its normal trading and sales practices to sell such Placement Shares up to the amount specified in, and otherwise in accordance with the terms of, such Placement Notice. The Company acknowledges and agrees that (i) there can be no assurance that the Lead Agent will be successful in selling Placement Shares, (ii) the Lead Agent will incur no liability or obligation to the Company or any other person or entity if it does not sell Placement Shares for any reason other than a failure by the Lead Agent to use its commercially reasonable efforts consistent with its normal trading and sales practices and applicable law and regulations to sell such Placement Shares as required under this Agreement and (iii) the Lead Agent shall be under no obligation to purchase Placement Shares on a principal basis pursuant to this Agreement, except as otherwise agreed by the Lead Agent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Settlement of Placement Shares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Unless otherwise specified in the applicable Placement Notice, settlement for sales of Placement Shares will occur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(or such earlier day as is industry practice or as is required by law for regular-way trading) following the date on which such sales are made (each, a “</w:t>
      </w:r>
      <w:r>
        <w:rPr>
          <w:rFonts w:ascii="Times New Roman;Times;Serif" w:hAnsi="Times New Roman;Times;Serif"/>
          <w:b w:val="false"/>
          <w:i w:val="false"/>
          <w:caps w:val="false"/>
          <w:smallCaps w:val="false"/>
          <w:sz w:val="20"/>
          <w:u w:val="single"/>
        </w:rPr>
        <w:t>Settlement Date</w:t>
      </w:r>
      <w:r>
        <w:rPr>
          <w:rFonts w:ascii="Times New Roman;Times;Serif" w:hAnsi="Times New Roman;Times;Serif"/>
          <w:b w:val="false"/>
          <w:i w:val="false"/>
          <w:caps w:val="false"/>
          <w:smallCaps w:val="false"/>
          <w:sz w:val="20"/>
        </w:rPr>
        <w:t>”). The amount of proceeds to be delivered to the Company on a Settlement Date against receipt of the Placement Shares sold (the “Net Proceeds”) will be equal to the aggregate sales price received by the Lead Agent, after deduction for (i) the Lead Agent’s commission, discount or other compensation for such sales payable by the Company pursuant to Section 2 hereof, and (ii) any transaction fees imposed by any governmental or self-regulatory organization in respect of such sales.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Delivery of Placement Shares</w:t>
      </w:r>
      <w:r>
        <w:rPr>
          <w:rFonts w:ascii="Times New Roman;Times;Serif" w:hAnsi="Times New Roman;Times;Serif"/>
          <w:b w:val="false"/>
          <w:i w:val="false"/>
          <w:caps w:val="false"/>
          <w:smallCaps w:val="false"/>
          <w:sz w:val="20"/>
        </w:rPr>
        <w:t>. On each Settlement Date, against payment of the Net Proceeds, the Company will, or will cause its transfer agent to, electronically transfer the Placement Shares being sold by crediting the Lead Agent’s or its designee’s account (provided the Lead Agent shall have given the Company written notice of such designee and such designee’s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On each Settlement Date, the Lead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Section 10(a) hereto, it will (i) hold the Lead Agent harmless against any loss, claim, damage, or expense (including reasonable and documented legal fees and expenses), as incurred, arising out of or in connection with such default by the Company or its transfer agent (if applicable) and (ii) pay to the Lead Agent any commission, discount, or other compensation to which it would otherwise have been entitled absent such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Limitations on Offering Size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Under no circumstances shall the Company cause or request the offer or sale of any Placement Shares if, after giving effect to the sale of such Placement Shares, the aggregate gross sales proceeds of such Placement Shares sold pursuant to this Agreement would exceed the lesser of (A) together with all sales of Placement Shares under this Agreement, the Maximum Amount, (B) the amount available for offer and sale under the Registration Statement and (C) the amount authorized from time to time to be issued and sold under this Agreement by the Company’s board of directors, a duly authorized committee thereof or a duly authorized executive committee, and notified to the Lead Agent in writing. Under no circumstances shall the Company cause or request the offer or sale of any Placement Shares pursuant to this Agreement at a price lower than the minimum price authorized from time to time by the Company’s board of directors, duly authorized committee thereof or a duly authorized executive committee, and notified to the Lead Agent in writing. Further, under no circumstances shall the Company cause or permit the aggregate offering amount of Placement Shares sold pursuant to this Agreement to exceed the Maximum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6.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disclosed in the Registration Statement or Prospectus (including the Incorporated Documents), the Company represents and warrants to, and agrees with the Agents that as of the date of this Agreement and as of each Applicable Time (as defined below), unless such representation, warranty or agreement specifies a different date or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Company and the transactions contemplated by this Agreement meet the requirements for and comply with the conditions for the use of Form S-3 under the Securities Act. The Registration Statement has been filed with the Commission and declared effective under the Securities Act. The Prospectus Supplement will name the Agents as the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Agents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Lead Agent has consented. The Company has not, in the 12 months preceding the date hereof, received notice from the Exchange to the effect that the Company is not in compliance with the listing or maintenance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The Registration Statement, when it became or becomes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or becomes effective, did not, and will not, contain an untrue statement of a material fact or omit to state a material fact required to be stated therein or necessary to make the statements therein not misleading. The Prospectus and any amendment or supplement thereto, on the date thereof and at each Applicable Time (defined below), did not and will not include an untrue statement of a material fact or omit to state a material fact necessary to make the statements therein, in light of the circumstances under which they were made, not misleading. The Incorporated Documents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an Agent specifically for use in the preparation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and will conform in all material respects with the requirements of the Securities Act and the Exchange Act,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Financial Information</w:t>
      </w:r>
      <w:r>
        <w:rPr>
          <w:rFonts w:ascii="Times New Roman;Times;Serif" w:hAnsi="Times New Roman;Times;Serif"/>
          <w:b w:val="false"/>
          <w:i w:val="false"/>
          <w:caps w:val="false"/>
          <w:smallCaps w:val="false"/>
          <w:sz w:val="20"/>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will not be material, either individually or in the aggregate) during the periods involved; the other financial and statistical data with respect to the Company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does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Conformity with EDGAR Filing</w:t>
      </w:r>
      <w:r>
        <w:rPr>
          <w:rFonts w:ascii="Times New Roman;Times;Serif" w:hAnsi="Times New Roman;Times;Serif"/>
          <w:b w:val="false"/>
          <w:i w:val="false"/>
          <w:caps w:val="false"/>
          <w:smallCaps w:val="false"/>
          <w:sz w:val="20"/>
        </w:rPr>
        <w:t>. The Prospectus delivered to the Agents for use in connection with the sale of the Placement Shares pursuant to this Agreement will be identical to the versions of the Prospectus created to be transmitted to the Commission for filing via EDGAR, except to the extent permitted by Regulation 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The Company is duly organized, validly existing as a corporation and in good standing under the laws of its jurisdiction of organization. The Company is, and will be, duly licensed or qualified as a foreign corporation for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on or affecting the assets, business, operations, earnings, properties, condition (financial or otherwise), prospects, stockholders’ equity or results of operations of the Company or prevent or materially interfere with consummation of the transactions contemplated hereby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The Company does not own or control, directly or indirectly, any corporation, association or other entity other than the subsidiaries listed in Exhibit 21.1 to the Company’s Annual Report on Form 10-K for the most recently ended fiscal year. The Company owns directly or indirectly, all of the equity interests of its subsidiaries free and clear of any lien, charge, security interest, encumbrance, right of first refusal or other restriction, and all the equity interests of its subsidiaries are validly issued and are fully paid, non-assessable and free of preemptive and similar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The Company is not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(iii) in violation of any law or statute or any judgment, order, rule or regulation of any court or arbitrator or governmental or regulatory authority, except, in the case of each of clauses (ii) and (iii) above, for any such violation or default that would not, individually or in the aggregate, have a Material Adverse Effect. To the Company’s knowledge, no other party under any material contract or other agreement to which it is a party is in default in any respect thereunder where such default would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Subsequent to the respective dates as of which information is given in the Registration Statement, the Prospectus and the Issuer Free Writing Prospectuses, if any, (including any Incorporated Documents), there has not been (i) any Material Adverse Effect, (ii) any transaction which is material to the Company, (iii) any obligation or liability, direct or contingent (including any off-balance sheet obligations), incurred by the Company which is material to the Company, (iv) any material change in the capital stock or outstanding long-term indebtedness (other than (A) the grant of additional awards under equity incentive plans, (B) changes in the number of outstanding Common Stock due to the issuance of shares upon exercise or conversion of securities exercisable for or convertible into Common Stock outstanding on the date hereof, (C) any repurchase of capital stock of the Company, (D) as a result of the sale of Placement Shares, or (E) other than as publicly reported or announced), or (v) any dividend or distribution of any kind declared, paid or made on the capital stock of the Company other than in each case above in the ordinary course of business or as otherwise disclosed in the Registration Statement or Prospectus (including any Incorporated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and restricted stock units under the Company’s existing equity incentive plans, or changes in the number of outstanding shares of Common Stock of the Company due to the issuance of shares upon the exercise or conversion of securities exercisable for, or convertible into, Common Stock outstanding on the date hereof) and such authorized capital stock conforms to the description thereof set forth in the Registration Statement and the Prospectus. The description of the securities of the Company in the Registration Statement and the Prospectus is complete and accurate in all material respects.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(i) to the extent that enforceability may be limited by bankruptcy, insolvency, reorganization, moratorium or similar laws affecting creditors’ rights generally and by general equitable principles and (ii) the indemnification and contribution provisions of Section 10 hereof may be limited by federal or state securities laws and public policy considered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u w:val="single"/>
        </w:rPr>
        <w:t>Authorization of Placement Shares</w:t>
      </w:r>
      <w:r>
        <w:rPr>
          <w:rFonts w:ascii="Times New Roman;Times;Serif" w:hAnsi="Times New Roman;Times;Serif"/>
          <w:b w:val="false"/>
          <w:i w:val="false"/>
          <w:caps w:val="false"/>
          <w:smallCaps w:val="false"/>
          <w:sz w:val="20"/>
        </w:rPr>
        <w:t>. The Placement Shares, when issued and delivered pursuant to the terms approved by the board of directors of the Company, a duly authorized committee thereof, or a duly authorized executive officer,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u w:val="single"/>
        </w:rPr>
        <w:t>No Consents Required</w:t>
      </w:r>
      <w:r>
        <w:rPr>
          <w:rFonts w:ascii="Times New Roman;Times;Serif" w:hAnsi="Times New Roman;Times;Serif"/>
          <w:b w:val="false"/>
          <w:i w:val="false"/>
          <w:caps w:val="false"/>
          <w:smallCaps w:val="false"/>
          <w:sz w:val="20"/>
        </w:rPr>
        <w:t>. No consent, approval, authorization, order, registration or qualification of or with any court or arbitrator or governmental or regulatory authority is required for the execution, delivery and performance by the Company this Agreement, the issuance and sale by the Company of the Placement Shares, except for such consents, approvals, authorizations, orders and registrations or qualifications as may be required under applicable state securities laws or by the by-laws and rules of the Financial Industry Regulatory Authority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or the Exchange in connection with the sale of the Placement Shares by the Lead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u w:val="single"/>
        </w:rPr>
        <w:t>No Preferential Rights</w:t>
      </w:r>
      <w:r>
        <w:rPr>
          <w:rFonts w:ascii="Times New Roman;Times;Serif" w:hAnsi="Times New Roman;Times;Serif"/>
          <w:b w:val="false"/>
          <w:i w:val="false"/>
          <w:caps w:val="false"/>
          <w:smallCaps w:val="false"/>
          <w:sz w:val="20"/>
        </w:rPr>
        <w:t>. Except as set forth in the Registration Statement and the Prospectus (including any Incorporated Documents), (i) no person, as such term is defined in Rule 1-02 of Regulation S-X promulgated under the Securities Act (each, a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has the right, contractual or otherwise, to cause the Company to issue or sell to such Person any Common Stock or shares of any other capital stock or other securities of the Company (other than upon the exercise of options or upon the exercise of options or stock awards that may be granted from time to time under the Company’s equity incentive plans), (ii) no Person has any preemptive rights, resale rights, rights of first refusal, or any other rights (whether pursuant to a “poison pill” provision or otherwise) to purchase any Common Stock or shares of any other capital stock or other securities of the Company, (iii) no Person has the right to act as an underwriter or as a financial advisor to the Company in connection with the offer and sale of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(o)               </w:t>
      </w:r>
      <w:r>
        <w:rPr>
          <w:rFonts w:ascii="Times New Roman;Times;Serif" w:hAnsi="Times New Roman;Times;Serif"/>
          <w:b w:val="false"/>
          <w:i w:val="false"/>
          <w:caps w:val="false"/>
          <w:smallCaps w:val="false"/>
          <w:sz w:val="20"/>
          <w:u w:val="single"/>
        </w:rPr>
        <w:t>Independent Public Accountant</w:t>
      </w:r>
      <w:r>
        <w:rPr>
          <w:rFonts w:ascii="Times New Roman;Times;Serif" w:hAnsi="Times New Roman;Times;Serif"/>
          <w:b w:val="false"/>
          <w:i w:val="false"/>
          <w:caps w:val="false"/>
          <w:smallCaps w:val="false"/>
          <w:sz w:val="20"/>
        </w:rPr>
        <w:t>. Baker Tilly US, LLP (the “</w:t>
      </w:r>
      <w:r>
        <w:rPr>
          <w:rFonts w:ascii="Times New Roman;Times;Serif" w:hAnsi="Times New Roman;Times;Serif"/>
          <w:b w:val="false"/>
          <w:i w:val="false"/>
          <w:caps w:val="false"/>
          <w:smallCaps w:val="false"/>
          <w:sz w:val="20"/>
          <w:u w:val="single"/>
        </w:rPr>
        <w:t>Accountant</w:t>
      </w:r>
      <w:r>
        <w:rPr>
          <w:rFonts w:ascii="Times New Roman;Times;Serif" w:hAnsi="Times New Roman;Times;Serif"/>
          <w:b w:val="false"/>
          <w:i w:val="false"/>
          <w:caps w:val="false"/>
          <w:smallCaps w:val="false"/>
          <w:sz w:val="20"/>
        </w:rPr>
        <w:t>”), whose report on the financial statements of the Company is filed with the Commission as part of the Company’s most recent Annual Report on Form 10-K filed with the Commission and incorporated into the Registration Statement and the Prospectus, are and, during the periods covered by their report, were an independent registered public accounting firm with respect to the Company within the meaning of the Securities Act and the Public Company Accounting Oversight Board (United States). To the Company’s knowledge, the Accountant is not in violation of the auditor independence requirements of the Sarbanes-Oxley Act of 2002 (the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with respect to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(p)               </w:t>
      </w:r>
      <w:r>
        <w:rPr>
          <w:rFonts w:ascii="Times New Roman;Times;Serif" w:hAnsi="Times New Roman;Times;Serif"/>
          <w:b w:val="false"/>
          <w:i w:val="false"/>
          <w:caps w:val="false"/>
          <w:smallCaps w:val="false"/>
          <w:sz w:val="20"/>
          <w:u w:val="single"/>
        </w:rPr>
        <w:t>Independent Petroleum Engineers</w:t>
      </w:r>
      <w:r>
        <w:rPr>
          <w:rFonts w:ascii="Times New Roman;Times;Serif" w:hAnsi="Times New Roman;Times;Serif"/>
          <w:b w:val="false"/>
          <w:i w:val="false"/>
          <w:caps w:val="false"/>
          <w:smallCaps w:val="false"/>
          <w:sz w:val="20"/>
        </w:rPr>
        <w:t>. DeGolyer &amp; MacNaughton and Cawley, Gillespie &amp; Associates, Inc., whose reports on the oil and gas reserve estimates of the Company are incorporated by reference in the Registration Statement and the Prospectus, are both independent petroleum engineers in accordance with guidelines established by the Commission.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(q)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Prospectus are legal, valid and binding obligations of the Company enforceable in accordance with their respective terms other than such agreements that have expired by their terms or whose termination is disclosed in documents filed by the Company on EDGAR,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and except for any unenforceability that, individually or in the aggregate, would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(r)                </w:t>
      </w:r>
      <w:r>
        <w:rPr>
          <w:rFonts w:ascii="Times New Roman;Times;Serif" w:hAnsi="Times New Roman;Times;Serif"/>
          <w:b w:val="false"/>
          <w:i w:val="false"/>
          <w:caps w:val="false"/>
          <w:smallCaps w:val="false"/>
          <w:sz w:val="20"/>
          <w:u w:val="single"/>
        </w:rPr>
        <w:t>No Litigation</w:t>
      </w:r>
      <w:r>
        <w:rPr>
          <w:rFonts w:ascii="Times New Roman;Times;Serif" w:hAnsi="Times New Roman;Times;Serif"/>
          <w:b w:val="false"/>
          <w:i w:val="false"/>
          <w:caps w:val="false"/>
          <w:smallCaps w:val="false"/>
          <w:sz w:val="20"/>
        </w:rPr>
        <w:t>. There are no legal, governmental or regulatory actions, suits or proceedings pending, nor, to the Company’s knowledge, any legal, governmental or regulatory investigations, to which the Company is a party or to which any property of the Company is the subject that, individually or in the aggregate, if determined adversely to the Company would have a Material Adverse Effect or materially and adversely affect the ability of the Company to perform its obligations under this Agreement; to the Company’s knowledge, no such actions, suits or proceedings are threatened or contemplated by any governmental or regulatory authority or threatened by others; and (i) there are no current or pending legal, governmental or regulatory investigations, actions, suits or proceedings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                </w:t>
      </w:r>
      <w:r>
        <w:rPr>
          <w:rFonts w:ascii="Times New Roman;Times;Serif" w:hAnsi="Times New Roman;Times;Serif"/>
          <w:b w:val="false"/>
          <w:i w:val="false"/>
          <w:caps w:val="false"/>
          <w:smallCaps w:val="false"/>
          <w:sz w:val="20"/>
          <w:u w:val="single"/>
        </w:rPr>
        <w:t>Licenses and Permits</w:t>
      </w:r>
      <w:r>
        <w:rPr>
          <w:rFonts w:ascii="Times New Roman;Times;Serif" w:hAnsi="Times New Roman;Times;Serif"/>
          <w:b w:val="false"/>
          <w:i w:val="false"/>
          <w:caps w:val="false"/>
          <w:smallCaps w:val="false"/>
          <w:sz w:val="20"/>
        </w:rPr>
        <w:t>. The Company possesses or has obtained, all licenses, certificates, consents, orders, approvals, permits and other authorizations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the Registration Statement and the Prospectus (the “</w:t>
      </w:r>
      <w:r>
        <w:rPr>
          <w:rFonts w:ascii="Times New Roman;Times;Serif" w:hAnsi="Times New Roman;Times;Serif"/>
          <w:b w:val="false"/>
          <w:i w:val="false"/>
          <w:caps w:val="false"/>
          <w:smallCaps w:val="false"/>
          <w:sz w:val="20"/>
          <w:u w:val="single"/>
        </w:rPr>
        <w:t>Permits</w:t>
      </w:r>
      <w:r>
        <w:rPr>
          <w:rFonts w:ascii="Times New Roman;Times;Serif" w:hAnsi="Times New Roman;Times;Serif"/>
          <w:b w:val="false"/>
          <w:i w:val="false"/>
          <w:caps w:val="false"/>
          <w:smallCaps w:val="false"/>
          <w:sz w:val="20"/>
        </w:rPr>
        <w:t>”), except where the failure to possess, obtain or make the same would not, individually or in the aggregate, reasonably be expected to have a Material Adverse Effect. The Company has not received written notice of any proceeding relating to revocation or modification of any such Permit or has any reason to believe that such Permit will not be renewed in the ordinary course, except where the failure to obtain any such renewal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(t)                 </w:t>
      </w:r>
      <w:r>
        <w:rPr>
          <w:rFonts w:ascii="Times New Roman;Times;Serif" w:hAnsi="Times New Roman;Times;Serif"/>
          <w:b w:val="false"/>
          <w:i w:val="false"/>
          <w:caps w:val="false"/>
          <w:smallCaps w:val="false"/>
          <w:sz w:val="20"/>
          <w:u w:val="single"/>
        </w:rPr>
        <w:t>No Material Defaults</w:t>
      </w:r>
      <w:r>
        <w:rPr>
          <w:rFonts w:ascii="Times New Roman;Times;Serif" w:hAnsi="Times New Roman;Times;Serif"/>
          <w:b w:val="false"/>
          <w:i w:val="false"/>
          <w:caps w:val="false"/>
          <w:smallCaps w:val="false"/>
          <w:sz w:val="20"/>
        </w:rPr>
        <w:t>. The Company has not defaulted on any installment on indebtedness for borrowed money or on any rental on one or more long-term leases, which defaults, individually or in the aggregate,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(u)               </w:t>
      </w:r>
      <w:r>
        <w:rPr>
          <w:rFonts w:ascii="Times New Roman;Times;Serif" w:hAnsi="Times New Roman;Times;Serif"/>
          <w:b w:val="false"/>
          <w:i w:val="false"/>
          <w:caps w:val="false"/>
          <w:smallCaps w:val="false"/>
          <w:sz w:val="20"/>
          <w:u w:val="single"/>
        </w:rPr>
        <w:t>S-3 Eligibility</w:t>
      </w:r>
      <w:r>
        <w:rPr>
          <w:rFonts w:ascii="Times New Roman;Times;Serif" w:hAnsi="Times New Roman;Times;Serif"/>
          <w:b w:val="false"/>
          <w:i w:val="false"/>
          <w:caps w:val="false"/>
          <w:smallCaps w:val="false"/>
          <w:sz w:val="20"/>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S-3 under the Securities Act, including compliance with General Instruction I.B.1 of Form S-3.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Neither the Company nor, to the Company’s knowledge, any of its directors, officers or controlling persons has taken, directly or indirectly, any action designed, or that has constituted or would reasonably be expected to cause or result in, under the Exchange Act or otherwise, the stabilization or manipulation of the price of any security of the Company to facilitate the sale or resale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(w)             </w:t>
      </w:r>
      <w:r>
        <w:rPr>
          <w:rFonts w:ascii="Times New Roman;Times;Serif" w:hAnsi="Times New Roman;Times;Serif"/>
          <w:b w:val="false"/>
          <w:i w:val="false"/>
          <w:caps w:val="false"/>
          <w:smallCaps w:val="false"/>
          <w:sz w:val="20"/>
          <w:u w:val="single"/>
        </w:rPr>
        <w:t>Broker/Dealer Relationships</w:t>
      </w:r>
      <w:r>
        <w:rPr>
          <w:rFonts w:ascii="Times New Roman;Times;Serif" w:hAnsi="Times New Roman;Times;Serif"/>
          <w:b w:val="false"/>
          <w:i w:val="false"/>
          <w:caps w:val="false"/>
          <w:smallCaps w:val="false"/>
          <w:sz w:val="20"/>
        </w:rPr>
        <w:t>. Neither the Company nor any related entities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Company has not relied upon the Agents or legal counsel for the Agents for any legal, tax or accounting advice in connection with the offering and sale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(y)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has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reasonably be expected to have a Material Adverse Effect. Except as otherwise disclosed in or contemplated by the Registration Statement or the Prospectus, no tax deficiency has been determined adversely to the Company which has had, or would reasonably be expected to have, individually or in the aggregate, a Material Adverse Effect. The Company has no knowledge of any federal, state or other governmental tax deficiency, penalty or assessment which has been or might be asserted or threatened against it which reasonably would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(z)               </w:t>
      </w:r>
      <w:r>
        <w:rPr>
          <w:rFonts w:ascii="Times New Roman;Times;Serif" w:hAnsi="Times New Roman;Times;Serif"/>
          <w:b w:val="false"/>
          <w:i w:val="false"/>
          <w:caps w:val="false"/>
          <w:smallCaps w:val="false"/>
          <w:sz w:val="20"/>
          <w:u w:val="single"/>
        </w:rPr>
        <w:t>Title to Real and Personal Property</w:t>
      </w:r>
      <w:r>
        <w:rPr>
          <w:rFonts w:ascii="Times New Roman;Times;Serif" w:hAnsi="Times New Roman;Times;Serif"/>
          <w:b w:val="false"/>
          <w:i w:val="false"/>
          <w:caps w:val="false"/>
          <w:smallCaps w:val="false"/>
          <w:sz w:val="20"/>
        </w:rPr>
        <w:t>. The Company has good and valid title in fee simple to all items of real property and good and valid title to all personal property described in the Registration Statement or Prospectus as being owned by it that are material to the business of the Company, in each case free and clear of all liens, encumbrances and claims, except those that (i) do not materially interfere with the use made and proposed to be made of such property by the Company or (ii) would not reasonably expected, individually or in the aggregate, to have a Material Adverse Effect. Any real property described in the Registration Statement or Prospectus as being leased by the Company is held by it under valid, existing and enforceable leases, except those that (A) do not materially interfere with the use made or proposed to be made of such property by the Company or (B) would not be reasonably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(aa)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owns or possesses adequate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necessary for the conduct of its business as conducted as of the date hereof, except to the extent that the failure to own or possess adequate rights to use such Intellectual Property would not, individually or in the aggregate, reasonably be expected to have a Material Adverse Effect; the Company has not received any written notice of any claim of infringement or conflict which asserted Intellectual Property rights of others, which infringement or conflict, if the subject of an unfavorable decision, would result in a Material Adverse Effect; there are no pending, or to the Company’s knowledge, threatened judicial proceedings or interference proceedings against the Company challenging the Company’s rights in or to or the validity of the scope of any of the Company’s patents, patent applications or proprietary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(bb)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(i) is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has received and is in compliance with all permits, licenses or other approvals required of it under applicable Environmental Laws to conduct its businesses as described in the Registration Statement and the Prospectus; and (iii) has not received written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(cc)            </w:t>
      </w:r>
      <w:r>
        <w:rPr>
          <w:rFonts w:ascii="Times New Roman;Times;Serif" w:hAnsi="Times New Roman;Times;Serif"/>
          <w:b w:val="false"/>
          <w:i w:val="false"/>
          <w:caps w:val="false"/>
          <w:smallCaps w:val="false"/>
          <w:sz w:val="20"/>
          <w:u w:val="single"/>
        </w:rPr>
        <w:t>Disclosure Controls</w:t>
      </w:r>
      <w:r>
        <w:rPr>
          <w:rFonts w:ascii="Times New Roman;Times;Serif" w:hAnsi="Times New Roman;Times;Serif"/>
          <w:b w:val="false"/>
          <w:i w:val="false"/>
          <w:caps w:val="false"/>
          <w:smallCaps w:val="false"/>
          <w:sz w:val="20"/>
        </w:rPr>
        <w:t>. The Company maintains systems of internal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 over financial reporting (other than as set forth in the Prospectus).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controls and procedures as of a date within 90 days prior to the filing date of the Form 10-K for the fiscal year most recently ended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Form 10-K for the fiscal year most recently ended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307(b) of Regulation S-K under the Securities Act) or, to the Company’s knowledge, in other factors that could significantly affect the Company’s internal controls. To the knowledge of the Company, the Company’s “internal controls over financial reporting” and “disclosure controls and procedures” are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(dd)            </w:t>
      </w:r>
      <w:r>
        <w:rPr>
          <w:rFonts w:ascii="Times New Roman;Times;Serif" w:hAnsi="Times New Roman;Times;Serif"/>
          <w:b w:val="false"/>
          <w:i w:val="false"/>
          <w:caps w:val="false"/>
          <w:smallCaps w:val="false"/>
          <w:sz w:val="20"/>
          <w:u w:val="single"/>
        </w:rPr>
        <w:t>Sarbanes-Oxley</w:t>
      </w:r>
      <w:r>
        <w:rPr>
          <w:rFonts w:ascii="Times New Roman;Times;Serif" w:hAnsi="Times New Roman;Times;Serif"/>
          <w:b w:val="false"/>
          <w:i w:val="false"/>
          <w:caps w:val="false"/>
          <w:smallCaps w:val="false"/>
          <w:sz w:val="20"/>
        </w:rPr>
        <w:t>. The Company is not aware of any failure on the part of the Company or any of the Company’s directors or officers, in their capacities as such, to comply with any applicable provisions of the Sarbanes-Oxley Act and the applicable rules and regulations promulgated thereunder in all material respects.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Sarbanes-Oxley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(ee)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The Company has not incurred any liability for any finder’s fees, brokerage commissions or similar payments in connection with the transactions herein contemplated, except as may otherwise exist with respect to the Agents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(ff)               </w:t>
      </w:r>
      <w:r>
        <w:rPr>
          <w:rFonts w:ascii="Times New Roman;Times;Serif" w:hAnsi="Times New Roman;Times;Serif"/>
          <w:b w:val="false"/>
          <w:i w:val="false"/>
          <w:caps w:val="false"/>
          <w:smallCaps w:val="false"/>
          <w:sz w:val="20"/>
          <w:u w:val="single"/>
        </w:rPr>
        <w:t>Labor Disputes</w:t>
      </w:r>
      <w:r>
        <w:rPr>
          <w:rFonts w:ascii="Times New Roman;Times;Serif" w:hAnsi="Times New Roman;Times;Serif"/>
          <w:b w:val="false"/>
          <w:i w:val="false"/>
          <w:caps w:val="false"/>
          <w:smallCaps w:val="false"/>
          <w:sz w:val="20"/>
        </w:rPr>
        <w:t>. No labor disturbance by or dispute with employees of the Company exists or, to the Company’s knowledge, is threatened which would be reasonably likely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(gg)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or after giving effect to the offering and sale of the Placement Shares, will not be an “investment company” or an entity “controlled” by an “investment company,” as such terms are defined in the Investment Company Act of 1940, as amended (the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(hh)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are and have been conducted at all times in compliance with applicable financial record keeping and reporting requirements of the Currency and Foreign Transactions Reporting Act of 1970, as amended, the money laundering statutes of all jurisdictions to which the Company is subject, the rules and regulations thereunder and any related or similar rules, regulations or guidelines, issued, administered or enforced by any governmental agency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except as would not have a Material Adverse Effect; and no action, suit or proceeding by or before any court or governmental agency, authority or body or any arbitrator involving the Company with respect to the Money Laundering Laws is pending or, to the Company’s knowledge,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u w:val="single"/>
        </w:rPr>
        <w:t>Off-Balance Sheet Arrangements</w:t>
      </w:r>
      <w:r>
        <w:rPr>
          <w:rFonts w:ascii="Times New Roman;Times;Serif" w:hAnsi="Times New Roman;Times;Serif"/>
          <w:b w:val="false"/>
          <w:i w:val="false"/>
          <w:caps w:val="false"/>
          <w:smallCaps w:val="false"/>
          <w:sz w:val="20"/>
        </w:rPr>
        <w:t>. There are no transactions, arrangements and other relationships between and/or among the Company, and/or, to the Company’s knowledge, any of its affiliates and any unconsolidated entity, including, but not limited to, any structural finance, special purpose or limited purpose entity (each, an “</w:t>
      </w:r>
      <w:r>
        <w:rPr>
          <w:rFonts w:ascii="Times New Roman;Times;Serif" w:hAnsi="Times New Roman;Times;Serif"/>
          <w:b w:val="false"/>
          <w:i w:val="false"/>
          <w:caps w:val="false"/>
          <w:smallCaps w:val="false"/>
          <w:sz w:val="20"/>
          <w:u w:val="single"/>
        </w:rPr>
        <w:t>Off Balance Sheet Transaction</w:t>
      </w:r>
      <w:r>
        <w:rPr>
          <w:rFonts w:ascii="Times New Roman;Times;Serif" w:hAnsi="Times New Roman;Times;Serif"/>
          <w:b w:val="false"/>
          <w:i w:val="false"/>
          <w:caps w:val="false"/>
          <w:smallCaps w:val="false"/>
          <w:sz w:val="20"/>
        </w:rPr>
        <w:t>”) that could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(jj)               </w:t>
      </w:r>
      <w:r>
        <w:rPr>
          <w:rFonts w:ascii="Times New Roman;Times;Serif" w:hAnsi="Times New Roman;Times;Serif"/>
          <w:b w:val="false"/>
          <w:i w:val="false"/>
          <w:caps w:val="false"/>
          <w:smallCaps w:val="false"/>
          <w:sz w:val="20"/>
          <w:u w:val="single"/>
        </w:rPr>
        <w:t>Underwriter Agreements</w:t>
      </w:r>
      <w:r>
        <w:rPr>
          <w:rFonts w:ascii="Times New Roman;Times;Serif" w:hAnsi="Times New Roman;Times;Serif"/>
          <w:b w:val="false"/>
          <w:i w:val="false"/>
          <w:caps w:val="false"/>
          <w:smallCaps w:val="false"/>
          <w:sz w:val="20"/>
        </w:rPr>
        <w:t>. Other than with respect to this Agreement, the Company is not a party to any agreement with an agent or underwriter for any other “at the market” or continuous equity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(kk)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To the Company’s knowledge, each material employee benefit plan, within the meaning of Section 3(3)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that is maintained, administered or contributed to by the Company or any of its affiliates for employees or former employees of the Company has been maintained in material compliance with its terms and the requirements of any applicable statutes, orders, rules and regulations, including but not limited to ERISA and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(ll)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(a “</w:t>
      </w:r>
      <w:r>
        <w:rPr>
          <w:rFonts w:ascii="Times New Roman;Times;Serif" w:hAnsi="Times New Roman;Times;Serif"/>
          <w:b w:val="false"/>
          <w:i w:val="false"/>
          <w:caps w:val="false"/>
          <w:smallCaps w:val="false"/>
          <w:sz w:val="20"/>
          <w:u w:val="single"/>
        </w:rPr>
        <w:t>Forward- Looking Statement</w:t>
      </w:r>
      <w:r>
        <w:rPr>
          <w:rFonts w:ascii="Times New Roman;Times;Serif" w:hAnsi="Times New Roman;Times;Serif"/>
          <w:b w:val="false"/>
          <w:i w:val="false"/>
          <w:caps w:val="false"/>
          <w:smallCaps w:val="false"/>
          <w:sz w:val="20"/>
        </w:rPr>
        <w:t>”) included or incorporated by reference in the Registration Statement and the Prospectus has been made or reaffirmed without a reasonable basis or has been disclosed other than in good faith. The Forward-Looking Statements incorporated by reference in the Registration Statement and the Prospectus from the Company’s Annual Report on Form 10-K for the fiscal year most recently ended (i) are within the coverage of the safe harbor for forward looking statements set forth in Section 27A of the Securities Act, Rule 175(b) under the Securities Act or Rule 3b-6 under the Exchange Act, as applicable, (ii) were made by the Company with a reasonable basis and in good faith and reflect the Company’s good faith reasonable estimate of the matters described therein, and (iii) have been prepared in accordance with Item 10 of Regulation S-K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(mm)            </w:t>
      </w:r>
      <w:r>
        <w:rPr>
          <w:rFonts w:ascii="Times New Roman;Times;Serif" w:hAnsi="Times New Roman;Times;Serif"/>
          <w:b w:val="false"/>
          <w:i w:val="false"/>
          <w:caps w:val="false"/>
          <w:smallCaps w:val="false"/>
          <w:sz w:val="20"/>
          <w:u w:val="single"/>
        </w:rPr>
        <w:t>Agent Purchases</w:t>
      </w:r>
      <w:r>
        <w:rPr>
          <w:rFonts w:ascii="Times New Roman;Times;Serif" w:hAnsi="Times New Roman;Times;Serif"/>
          <w:b w:val="false"/>
          <w:i w:val="false"/>
          <w:caps w:val="false"/>
          <w:smallCaps w:val="false"/>
          <w:sz w:val="20"/>
        </w:rPr>
        <w:t>. The Company acknowledges and agrees that the Agents have informed the Company that any Agent may, to the extent permitted under the Securities Act and the Exchange Act, purchase and sell Common Stock for its own account while this Agreement is in effect, provided, that (i) no such purchase or sales shall take place while a Placement Notice is in effect (except to the extent the Lead Agent may engage in sales of Placement Shares purchased or deemed purchased from the Company as a “riskless principal” or in a similar capacity) and (ii) the Company shall not be deemed to have authorized or consented to any such purchases or sales by the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(nn)             </w:t>
      </w:r>
      <w:r>
        <w:rPr>
          <w:rFonts w:ascii="Times New Roman;Times;Serif" w:hAnsi="Times New Roman;Times;Serif"/>
          <w:b w:val="false"/>
          <w:i w:val="false"/>
          <w:caps w:val="false"/>
          <w:smallCaps w:val="false"/>
          <w:sz w:val="20"/>
          <w:u w:val="single"/>
        </w:rPr>
        <w:t>Margin Rules</w:t>
      </w:r>
      <w:r>
        <w:rPr>
          <w:rFonts w:ascii="Times New Roman;Times;Serif" w:hAnsi="Times New Roman;Times;Serif"/>
          <w:b w:val="false"/>
          <w:i w:val="false"/>
          <w:caps w:val="false"/>
          <w:smallCaps w:val="false"/>
          <w:sz w:val="20"/>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(oo)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carries, or is covered by, insurance in such amounts and covering such risks as the Company reasonably believes is adequate for the conduct of its business and as is customary for companies of similar size engaged in similar businesses in similar industries.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(pp)             </w:t>
      </w:r>
      <w:r>
        <w:rPr>
          <w:rFonts w:ascii="Times New Roman;Times;Serif" w:hAnsi="Times New Roman;Times;Serif"/>
          <w:b w:val="false"/>
          <w:i w:val="false"/>
          <w:caps w:val="false"/>
          <w:smallCaps w:val="false"/>
          <w:sz w:val="20"/>
          <w:u w:val="single"/>
        </w:rPr>
        <w:t>No Improper Practices</w:t>
      </w:r>
      <w:r>
        <w:rPr>
          <w:rFonts w:ascii="Times New Roman;Times;Serif" w:hAnsi="Times New Roman;Times;Serif"/>
          <w:b w:val="false"/>
          <w:i w:val="false"/>
          <w:caps w:val="false"/>
          <w:smallCaps w:val="false"/>
          <w:sz w:val="20"/>
        </w:rPr>
        <w:t>. (i) Neither the Company, nor to the Company’s knowledge, any of its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affiliate of the Company, on the one hand, and the directors, officers and stockholders of the Company, that is required by the Securities Act to be described in the Registration Statement and the Prospectus that is not so described; (iii) no relationship, direct or indirect, exists between or among the Company, or any affiliate of the Company, on the one hand, and the directors, officers, stockholders or directors of the Company that is required by the rules of FINRA to be described in the Registration Statement and the Prospectus that is not so described; (iv) there are no material outstanding loans or advances or material guarantees of indebtedness by the Company to or for the benefit of any of its officers or directors or any of the members of the families of any of them; (v) the Company has not offered, or caused any placement agent to offer, Common Stock to any person with the intent to influence unlawfully (A) a customer or supplier of the Company to alter the customer’s or supplier’s level or type of business with the Company or (B) a trade journalist or publication to write or publish favorable information about the Company or any of its products or services, and, (vi) neither the Company nor, to the Company’s knowledge, any employee or agent of the Company has made any payment of funds of the Company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(qq)            </w:t>
      </w:r>
      <w:r>
        <w:rPr>
          <w:rFonts w:ascii="Times New Roman;Times;Serif" w:hAnsi="Times New Roman;Times;Serif"/>
          <w:b w:val="false"/>
          <w:i w:val="false"/>
          <w:caps w:val="false"/>
          <w:smallCaps w:val="false"/>
          <w:sz w:val="20"/>
          <w:u w:val="single"/>
        </w:rPr>
        <w:t>Compliance with Applicable Laws</w:t>
      </w:r>
      <w:r>
        <w:rPr>
          <w:rFonts w:ascii="Times New Roman;Times;Serif" w:hAnsi="Times New Roman;Times;Serif"/>
          <w:b w:val="false"/>
          <w:i w:val="false"/>
          <w:caps w:val="false"/>
          <w:smallCaps w:val="false"/>
          <w:sz w:val="20"/>
        </w:rPr>
        <w:t>. The Company has not been advised, and has no reason to believe, that it and each of its subsidiaries are not conducting business in compliance with all applicable laws, rules and regulations of the jurisdictions in which it is conducting business, except where failure to be so in compliance would not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(rr)              </w:t>
      </w:r>
      <w:r>
        <w:rPr>
          <w:rFonts w:ascii="Times New Roman;Times;Serif" w:hAnsi="Times New Roman;Times;Serif"/>
          <w:b w:val="false"/>
          <w:i w:val="false"/>
          <w:caps w:val="false"/>
          <w:smallCaps w:val="false"/>
          <w:sz w:val="20"/>
          <w:u w:val="single"/>
        </w:rPr>
        <w:t>Status Under the Securities Act</w:t>
      </w:r>
      <w:r>
        <w:rPr>
          <w:rFonts w:ascii="Times New Roman;Times;Serif" w:hAnsi="Times New Roman;Times;Serif"/>
          <w:b w:val="false"/>
          <w:i w:val="false"/>
          <w:caps w:val="false"/>
          <w:smallCaps w:val="false"/>
          <w:sz w:val="20"/>
        </w:rPr>
        <w:t>. The Company was not and is not an ineligible issuer as defined in Rule 405 under the Securities Act at the times specified in Rules 164 and 433 under the Securities Act in connection with the offering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(ss)             </w:t>
      </w:r>
      <w:r>
        <w:rPr>
          <w:rFonts w:ascii="Times New Roman;Times;Serif" w:hAnsi="Times New Roman;Times;Serif"/>
          <w:b w:val="false"/>
          <w:i w:val="false"/>
          <w:caps w:val="false"/>
          <w:smallCaps w:val="false"/>
          <w:sz w:val="20"/>
          <w:u w:val="single"/>
        </w:rPr>
        <w:t>No Misstatement or Omission in an Issuer Free Writing Prospectus</w:t>
      </w:r>
      <w:r>
        <w:rPr>
          <w:rFonts w:ascii="Times New Roman;Times;Serif" w:hAnsi="Times New Roman;Times;Serif"/>
          <w:b w:val="false"/>
          <w:i w:val="false"/>
          <w:caps w:val="false"/>
          <w:smallCaps w:val="false"/>
          <w:sz w:val="20"/>
        </w:rPr>
        <w:t xml:space="preserve">. Each Issuer Free Writing Prospectus, as of its issue date and as of each Applicable Time (as defined in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below), did not, does not and will not include any information that conflicted, conflicts or will conflict with the information contained in the Registration Statement or the Prospectus (including any Incorporated Documents) deemed to be a part thereof that has not been superseded or modified. The foregoing sentence does not apply to statements in or omissions from any Issuer Free Writing Prospectus based upon and in conformity with written information furnished to the Company by any Agent specifically for use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(tt)              </w:t>
      </w:r>
      <w:r>
        <w:rPr>
          <w:rFonts w:ascii="Times New Roman;Times;Serif" w:hAnsi="Times New Roman;Times;Serif"/>
          <w:b w:val="false"/>
          <w:i w:val="false"/>
          <w:caps w:val="false"/>
          <w:smallCaps w:val="false"/>
          <w:sz w:val="20"/>
          <w:u w:val="single"/>
        </w:rPr>
        <w:t>Reserve Report Data</w:t>
      </w:r>
      <w:r>
        <w:rPr>
          <w:rFonts w:ascii="Times New Roman;Times;Serif" w:hAnsi="Times New Roman;Times;Serif"/>
          <w:b w:val="false"/>
          <w:i w:val="false"/>
          <w:caps w:val="false"/>
          <w:smallCaps w:val="false"/>
          <w:sz w:val="20"/>
        </w:rPr>
        <w:t>. The oil and gas reserve estimates of the Company, which are incorporated by reference in the Registration Statement and the Prospectus, are derived from reports that have been prepared by independent reserve engineers in accordance with Commission guidelines applied on a consistent basis throughout the periods involved, and the Company has no reason to believe that such estimates do not fairly reflect, in all material respects, the oil and gas reserves of the Company, or the present value of future net cash flows therefrom, as of the dates indicated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(uu)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court or of any federal, state or other regulatory authority or other government body having jurisdiction over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(vv)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Neither the Company or any director, officer, employee, or to the Company’s knowledge, affiliate, agent or representative of the Company is a government, individual or entity (in this paragraph (vv),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that is, or is 50% owned or controlled by a Person that is, currently subject to any U.S. sanctions administered by the Office of Foreign Assets Control of the U.S. Department of the Treasury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authority with jurisdiction over the parties to this Agreement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nor located, organized or resident in a country or territory that is the subject of comprehensive Sanctions (as of the effective date of this Agreement, the Crimea region of Ukraine, Cuba, Iran, North Korea, the so-called Donetsk People’s Republic, and the so-called Luhansk People’s Republic) (collectively, a “</w:t>
      </w:r>
      <w:r>
        <w:rPr>
          <w:rFonts w:ascii="Times New Roman;Times;Serif" w:hAnsi="Times New Roman;Times;Serif"/>
          <w:b w:val="false"/>
          <w:i w:val="false"/>
          <w:caps w:val="false"/>
          <w:smallCaps w:val="false"/>
          <w:sz w:val="20"/>
          <w:u w:val="single"/>
        </w:rPr>
        <w:t>Sanctioned Territory</w:t>
      </w:r>
      <w:r>
        <w:rPr>
          <w:rFonts w:ascii="Times New Roman;Times;Serif" w:hAnsi="Times New Roman;Times;Serif"/>
          <w:b w:val="false"/>
          <w:i w:val="false"/>
          <w:caps w:val="false"/>
          <w:smallCaps w:val="false"/>
          <w:sz w:val="20"/>
        </w:rPr>
        <w:t>”); provided however, that for the purposes of this paragraph (vv), no Person shall be an affiliate of the Company solely by reason of owning less than a majority of any class of voting securities of the Company. The Company will not directly or knowingly indirectly use the proceeds of the offering of the securities hereunder, or lend, contribute or otherwise make available such proceeds to any subsidiary, joint venture partner or other Person, for the purpose of financing the activities of any person currently subject to any U.S. sanctions administered by OFAC. The Company represents and covenants that, except as detailed in the Prospectus, for the past three years, the Company has not knowingly engaged in, is not now knowingly engaged in, and will not engage in, any dealings or transactions with any Person that at the time of the dealing or transaction is or was the subject of Sanctions or with any Sanctioned Territory.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(ww)            </w:t>
      </w:r>
      <w:r>
        <w:rPr>
          <w:rFonts w:ascii="Times New Roman;Times;Serif" w:hAnsi="Times New Roman;Times;Serif"/>
          <w:b w:val="false"/>
          <w:i w:val="false"/>
          <w:caps w:val="false"/>
          <w:smallCaps w:val="false"/>
          <w:sz w:val="20"/>
          <w:u w:val="single"/>
        </w:rPr>
        <w:t>Stock Transfer Taxes</w:t>
      </w:r>
      <w:r>
        <w:rPr>
          <w:rFonts w:ascii="Times New Roman;Times;Serif" w:hAnsi="Times New Roman;Times;Serif"/>
          <w:b w:val="false"/>
          <w:i w:val="false"/>
          <w:caps w:val="false"/>
          <w:smallCaps w:val="false"/>
          <w:sz w:val="20"/>
        </w:rPr>
        <w:t>.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(xx)              </w:t>
      </w:r>
      <w:r>
        <w:rPr>
          <w:rFonts w:ascii="Times New Roman;Times;Serif" w:hAnsi="Times New Roman;Times;Serif"/>
          <w:b w:val="false"/>
          <w:i w:val="false"/>
          <w:caps w:val="false"/>
          <w:smallCaps w:val="false"/>
          <w:sz w:val="20"/>
          <w:u w:val="single"/>
        </w:rPr>
        <w:t>FINRA Exemption</w:t>
      </w:r>
      <w:r>
        <w:rPr>
          <w:rFonts w:ascii="Times New Roman;Times;Serif" w:hAnsi="Times New Roman;Times;Serif"/>
          <w:b w:val="false"/>
          <w:i w:val="false"/>
          <w:caps w:val="false"/>
          <w:smallCaps w:val="false"/>
          <w:sz w:val="20"/>
        </w:rPr>
        <w:t>. To enable the Agents to rely on Rule 5110(b)(7)(C)(i) of FINRA, the Company represents that the Company (i) has a non-affiliate, public common equity float of at least $150 million or a non-affiliate, public common equity float of at least $100 million and annual trading volume of at least three million shares and (ii) has been subject to the Exchange Act reporting requirements for a period of at least 36 months.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7.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with Agents that: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Registration Statement Amendments</w:t>
      </w:r>
      <w:r>
        <w:rPr>
          <w:rFonts w:ascii="Times New Roman;Times;Serif" w:hAnsi="Times New Roman;Times;Serif"/>
          <w:b w:val="false"/>
          <w:i w:val="false"/>
          <w:caps w:val="false"/>
          <w:smallCaps w:val="false"/>
          <w:sz w:val="20"/>
        </w:rPr>
        <w:t>. After the date of this Agreement and during any period in which a Prospectus relating to any Placement Shares is required to be delivered by an Agent under the Securities Act (including in circumstances where such requirement may be satisfied pursuant to Rule 172 under the Securities Act) (the “</w:t>
      </w:r>
      <w:r>
        <w:rPr>
          <w:rFonts w:ascii="Times New Roman;Times;Serif" w:hAnsi="Times New Roman;Times;Serif"/>
          <w:b w:val="false"/>
          <w:i w:val="false"/>
          <w:caps w:val="false"/>
          <w:smallCaps w:val="false"/>
          <w:sz w:val="20"/>
          <w:u w:val="single"/>
        </w:rPr>
        <w:t>Prospectus Delivery Period</w:t>
      </w:r>
      <w:r>
        <w:rPr>
          <w:rFonts w:ascii="Times New Roman;Times;Serif" w:hAnsi="Times New Roman;Times;Serif"/>
          <w:b w:val="false"/>
          <w:i w:val="false"/>
          <w:caps w:val="false"/>
          <w:smallCaps w:val="false"/>
          <w:sz w:val="20"/>
        </w:rPr>
        <w:t>”) (i) the Company will notify the Agents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promptly upon the Lead Agent’s request, any amendments or supplements to the Registration Statement or Prospectus that, in the Lead Agent’s reasonable opinion, may be necessary or advisable in connection with the distribution of the Placement Shares by the Lead Agent (provided, however, that the failure of the Lead Agent to make such request shall not relieve the Company of any obligation or liability hereunder, or affect the Agents’ right to rely on the representations and warranties made by the Company in this Agreement and provided, further, that the only remedy the Agents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the Agents within a reasonable period of time before the filing and the Lead Agent has not objected thereto (provided, however, that (A) the failure of the Lead Agent to make such objection shall not relieve the Company of any obligation or liability hereunder, or affect the Agents’ right to rely on the representations and warranties made by the Company in this Agreement and (B) the Company has no obligation to provide the Agents any advance copy of such filing or to provide the Agents an opportunity to object to such filing if the filing does not name the Agents or does not relate to the transaction herein provided; and provided, further, that the only remedy the Agents shall have with respect to the failure 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Section 7(a), based on the Company’s reasonable opinion or reasonable objections, shall be made exclusively by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Notice of Commission Stop Orders</w:t>
      </w:r>
      <w:r>
        <w:rPr>
          <w:rFonts w:ascii="Times New Roman;Times;Serif" w:hAnsi="Times New Roman;Times;Serif"/>
          <w:b w:val="false"/>
          <w:i w:val="false"/>
          <w:caps w:val="false"/>
          <w:smallCaps w:val="false"/>
          <w:sz w:val="20"/>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Delivery of Prospectus; Subsequent Changes</w:t>
      </w:r>
      <w:r>
        <w:rPr>
          <w:rFonts w:ascii="Times New Roman;Times;Serif" w:hAnsi="Times New Roman;Times;Serif"/>
          <w:b w:val="false"/>
          <w:i w:val="false"/>
          <w:caps w:val="false"/>
          <w:smallCaps w:val="false"/>
          <w:sz w:val="20"/>
        </w:rPr>
        <w:t>. During the Prospectus Delivery Period, the Company will comply with all requirements 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430A under the Securities Act, it will use its commercially reasonable efforts to comply with the provisions of and make all requisite filings with the Commission pursuant to said Rule 430A and to notify the Agents promptly of all such filings. If during the Prospectus Delivery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the Prospectus Delivery Period the Company determines in its judgment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Prospectus (at the expense of the Company) so as to correct such statement or omission or effect such compliance; provided, however, that the Company may delay the filing of any amendment or supplement, if in the judgment of the Company, it is in the best interests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Listing of Placement Shares</w:t>
      </w:r>
      <w:r>
        <w:rPr>
          <w:rFonts w:ascii="Times New Roman;Times;Serif" w:hAnsi="Times New Roman;Times;Serif"/>
          <w:b w:val="false"/>
          <w:i w:val="false"/>
          <w:caps w:val="false"/>
          <w:smallCaps w:val="false"/>
          <w:sz w:val="20"/>
        </w:rPr>
        <w:t>. During the Prospectus Delivery Period, the Company will use its commercially reasonable efforts to cause the Placement Shares to be listed on the Exchange and to qualify the Placement Shares for sale under the securities laws of such jurisdictions as the Lead Agent reasonably designates and to continue such qualifications in effect so long as required for the distribution of the Placement Shares; provided, however, that the Company shall not be required in connection therewith to qualify as a foreign corporation or dealer in securities or file a general consent to service of process in any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Delivery of Registration Statement and Prospectus</w:t>
      </w:r>
      <w:r>
        <w:rPr>
          <w:rFonts w:ascii="Times New Roman;Times;Serif" w:hAnsi="Times New Roman;Times;Serif"/>
          <w:b w:val="false"/>
          <w:i w:val="false"/>
          <w:caps w:val="false"/>
          <w:smallCaps w:val="false"/>
          <w:sz w:val="20"/>
        </w:rPr>
        <w:t>. The Company will furnish to the Agents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the Prospectus Delivery Period (including all documents filed with the Commission during such period that are deemed to be incorporated by reference therein), in each case as soon as reasonably practicable and in such quantities as the Agents may from time to time reasonably request and, at the Agents’ request, will also furnish copies of the Prospectus to each exchange or market on which sales of the Placement Shares may be made; provided, however, that the Company shall not be required to furnish any document (other than the Prospectus) to the Agents to the extent such document is available on EDGAR.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u w:val="single"/>
        </w:rPr>
        <w:t>Earnings Statement</w:t>
      </w:r>
      <w:r>
        <w:rPr>
          <w:rFonts w:ascii="Times New Roman;Times;Serif" w:hAnsi="Times New Roman;Times;Serif"/>
          <w:b w:val="false"/>
          <w:i w:val="false"/>
          <w:caps w:val="false"/>
          <w:smallCaps w:val="false"/>
          <w:sz w:val="20"/>
        </w:rPr>
        <w:t>. The Company will make generally available to its security holders as soon as practicable, but in any event not later than 15 months after the end of the Company’s current fiscal quarter, an earnings statement covering a 12-month period that satisfies the provisions of Section 11(a) and Rule 158 of the Securities Act; provided, however, that so long as the Company is subject to the reporting requirements of either Section 13 or Section 15(d) of the Exchange Act and is timely filing reports with the Commission on EDGAR, it shall be deemed to be in compliance with the foregoing requirement.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will use the Net Proceeds as described in the Prospectus in the section entitled “Use of Proceeds.”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u w:val="single"/>
        </w:rPr>
        <w:t>Notice of Other Sales</w:t>
      </w:r>
      <w:r>
        <w:rPr>
          <w:rFonts w:ascii="Times New Roman;Times;Serif" w:hAnsi="Times New Roman;Times;Serif"/>
          <w:b w:val="false"/>
          <w:i w:val="false"/>
          <w:caps w:val="false"/>
          <w:smallCaps w:val="false"/>
          <w:sz w:val="20"/>
        </w:rPr>
        <w:t>. Without the prior written consent of the Lead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date on which any Placement Notice is delivered to the Lead Agent hereunder and ending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termination of this Agreement; provided, however, that such restrictions will not be required in connection with the Company’s issuance or sale of (i) Common Stock, restricted stock units, options to purchase Common Stock or Common Stock issuable upon the exercise of options or the vesting and settlement of restricted stock units or stock awards,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including any exercise effected by the delivery of shares of Common Stock of the Company on a “cashless” or “net exercise” basis or to cover tax withholding, (ii) Common Stock issuable upon conversion of securities or the exercise of warrants, options or other rights in effect or outstanding, and disclosed in filings by the Company available on EDGAR or otherwise in writing to the Agents, and (iii) Common Stock, or securities convertible into or exercisable for Common Stock, offered and sold in a negotiated transaction to vendors, customers, strategic partners or potential strategic partners, acquisition candidates or other investors conducted in a manner so as not to be integrated with the offering of Common Stock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u w:val="single"/>
        </w:rPr>
        <w:t>Change of Circumstances</w:t>
      </w:r>
      <w:r>
        <w:rPr>
          <w:rFonts w:ascii="Times New Roman;Times;Serif" w:hAnsi="Times New Roman;Times;Serif"/>
          <w:b w:val="false"/>
          <w:i w:val="false"/>
          <w:caps w:val="false"/>
          <w:smallCaps w:val="false"/>
          <w:sz w:val="20"/>
        </w:rPr>
        <w:t>. The Company will, at any time during the pendency of a Placement Notice advise the Agents promptly after it shall have received notice or obtained knowledge thereof, of any information or fact that would alter or affect in any material respect any opinion, certificate, letter or other document required to be provided to the Agents pursuant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u w:val="single"/>
        </w:rPr>
        <w:t>Due Diligence Cooperation</w:t>
      </w:r>
      <w:r>
        <w:rPr>
          <w:rFonts w:ascii="Times New Roman;Times;Serif" w:hAnsi="Times New Roman;Times;Serif"/>
          <w:b w:val="false"/>
          <w:i w:val="false"/>
          <w:caps w:val="false"/>
          <w:smallCaps w:val="false"/>
          <w:sz w:val="20"/>
        </w:rPr>
        <w:t>. The Company will cooperate with any reasonable due diligence review conducted by the Agents or their representatives in connection with the transactions contemplated hereby, including, without limitation, providing information and making available documents and senior corporate officers, during regular business hours and at the Company’s principal offices, as the Agents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u w:val="single"/>
        </w:rPr>
        <w:t>Required Filings Relating to Placement of Placement Shares</w:t>
      </w:r>
      <w:r>
        <w:rPr>
          <w:rFonts w:ascii="Times New Roman;Times;Serif" w:hAnsi="Times New Roman;Times;Serif"/>
          <w:b w:val="false"/>
          <w:i w:val="false"/>
          <w:caps w:val="false"/>
          <w:smallCaps w:val="false"/>
          <w:sz w:val="20"/>
        </w:rPr>
        <w:t>. The Company agrees that on such dates as the Securities Act shall require, the Company will (i) file a prospectus supplement with the Commission under the applicable paragraph of Rule 424(b) under the Securities Act (each and every filing under Rule 424(b), a “</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which prospectus supplement will set forth, within the relevant period, the amount of Placement Shares sold through the Lead Agent, the Net Proceeds to the Company and the compensation payable by the Company to the Lead Agent with respect to such Placement Shares, and (ii) deliver such number of copies of each such prospectus supplement to each exchange or market on which such sales were effected as may be required by the rules or regulations of such exchange or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u w:val="single"/>
        </w:rPr>
        <w:t>Representation Dates; Certificate</w:t>
      </w:r>
      <w:r>
        <w:rPr>
          <w:rFonts w:ascii="Times New Roman;Times;Serif" w:hAnsi="Times New Roman;Times;Serif"/>
          <w:b w:val="false"/>
          <w:i w:val="false"/>
          <w:caps w:val="false"/>
          <w:smallCaps w:val="false"/>
          <w:sz w:val="20"/>
        </w:rPr>
        <w:t>. On the date of this Agreement and within five (5) Trading Days of each time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files an annual report on Form 10-K under the Exchange Act (including any Form 10-K/A containing amended financial information or a material amendment to the previously filed Form 10-K);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files a quarterly report on Form 10-Q under the Exchange Act;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(iv)               </w:t>
      </w:r>
      <w:r>
        <w:rPr>
          <w:rFonts w:ascii="Times New Roman;Times;Serif" w:hAnsi="Times New Roman;Times;Serif"/>
          <w:b w:val="false"/>
          <w:i w:val="false"/>
          <w:caps w:val="false"/>
          <w:smallCaps w:val="false"/>
          <w:sz w:val="20"/>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Times;Serif" w:hAnsi="Times New Roman;Times;Serif"/>
          <w:b w:val="false"/>
          <w:i w:val="false"/>
          <w:caps w:val="false"/>
          <w:smallCaps w:val="false"/>
          <w:sz w:val="20"/>
          <w:u w:val="single"/>
        </w:rPr>
        <w:t>Representation Date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furnish the Agents (but in the case of clause (iv) above only if the Agents reasonably determine that the information contained in such Form 8-K is material) with a certificate, in the form attached hereto as Exhibit 7(l) (the “</w:t>
      </w:r>
      <w:r>
        <w:rPr>
          <w:rFonts w:ascii="Times New Roman;Times;Serif" w:hAnsi="Times New Roman;Times;Serif"/>
          <w:b w:val="false"/>
          <w:i w:val="false"/>
          <w:caps w:val="false"/>
          <w:smallCaps w:val="false"/>
          <w:sz w:val="20"/>
          <w:u w:val="single"/>
        </w:rPr>
        <w:t>Representation Date Certificate</w:t>
      </w:r>
      <w:r>
        <w:rPr>
          <w:rFonts w:ascii="Times New Roman;Times;Serif" w:hAnsi="Times New Roman;Times;Serif"/>
          <w:b w:val="false"/>
          <w:i w:val="false"/>
          <w:caps w:val="false"/>
          <w:smallCaps w:val="false"/>
          <w:sz w:val="20"/>
        </w:rPr>
        <w:t>”); provided however, if no Placement Notice is pending at such Representation Date, then before the Company delivers a Placement Notice or the Lead Agent sells any Placement Shares, the Company shall provide the Agents with a Representation Date Certificate. The requirement to provide a Representation Date Certificate shall be waived for any Representation Date occurring at a time at which no Placement Notice is pending, which waiver shall continue until the earlier to occur of the date the Company delivers a Placement Notice hereunder (which for such calendar quarter shall be considered a Representation Date) and the next occurring Representation Date; provided, however, that such waiver shall not apply for any Representation Date on which the Company files its Annual Report on Form 10-K. Notwithstanding the foregoing, if the Company subsequently decides to sell Placement Shares following a Representation Date when the Company relied on such waiver and did not provide the Agents with a Representation Date Certificate, then before the Company delivers the Placement Notice or the Lead Agent sells any Placement Shares, the Company shall provide the Agents with a Representation Date Certificate, dated the date of the Placement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(1) On the date of this Agreement and (2) within five (5) Trading Days of each Representation Date, the Company shall cause to be furnished to the Agents a written opinion and negative assurance letter of (i) Mayer Brown LLP, counsel to the Company (“</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and (ii) Fennemore Craig, P.C., Nevada counsel to the Company (“</w:t>
      </w:r>
      <w:r>
        <w:rPr>
          <w:rFonts w:ascii="Times New Roman;Times;Serif" w:hAnsi="Times New Roman;Times;Serif"/>
          <w:b w:val="false"/>
          <w:i w:val="false"/>
          <w:caps w:val="false"/>
          <w:smallCaps w:val="false"/>
          <w:sz w:val="20"/>
          <w:u w:val="single"/>
        </w:rPr>
        <w:t>Nevada Company Counsel</w:t>
      </w:r>
      <w:r>
        <w:rPr>
          <w:rFonts w:ascii="Times New Roman;Times;Serif" w:hAnsi="Times New Roman;Times;Serif"/>
          <w:b w:val="false"/>
          <w:i w:val="false"/>
          <w:caps w:val="false"/>
          <w:smallCaps w:val="false"/>
          <w:sz w:val="20"/>
        </w:rPr>
        <w:t>”), in form and substance satisfactory to the Lead Agent and their counsel and subject to customary and appropriate assumptions and qualifications, dated the date that the opinions are required to be delivered; provided however, if no placement notice is pending at such Representation Date, then before the Company delivers a Placement Notice or the Lead Agent sells any Placement Shares, the Company shall provide the Agents with such negative assurance letter; provided, further, that in lieu of such negative assurance letter for subsequent periodic filings under the Exchange Act, Company Counsel and Nevada Company Counsel may furnish the Agents with a letter (a “</w:t>
      </w:r>
      <w:r>
        <w:rPr>
          <w:rFonts w:ascii="Times New Roman;Times;Serif" w:hAnsi="Times New Roman;Times;Serif"/>
          <w:b w:val="false"/>
          <w:i w:val="false"/>
          <w:caps w:val="false"/>
          <w:smallCaps w:val="false"/>
          <w:sz w:val="20"/>
          <w:u w:val="single"/>
        </w:rPr>
        <w:t>Reliance Letter</w:t>
      </w:r>
      <w:r>
        <w:rPr>
          <w:rFonts w:ascii="Times New Roman;Times;Serif" w:hAnsi="Times New Roman;Times;Serif"/>
          <w:b w:val="false"/>
          <w:i w:val="false"/>
          <w:caps w:val="false"/>
          <w:smallCaps w:val="false"/>
          <w:sz w:val="20"/>
        </w:rPr>
        <w:t>”) to the effect that the Agents may rely on a prior negative assurance letter delivered under this Section 7(m) to the same extent as if it were dated the date of such letter (except that statements in such prior negative assurance letter shall be deemed to relate to the Registration Statement and the Prospectus as amended or supplemented as of the date of the Reliance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(n)               </w:t>
      </w:r>
      <w:r>
        <w:rPr>
          <w:rFonts w:ascii="Times New Roman;Times;Serif" w:hAnsi="Times New Roman;Times;Serif"/>
          <w:b w:val="false"/>
          <w:i w:val="false"/>
          <w:caps w:val="false"/>
          <w:smallCaps w:val="false"/>
          <w:sz w:val="20"/>
          <w:u w:val="single"/>
        </w:rPr>
        <w:t>Accounting Comfort Letter</w:t>
      </w:r>
      <w:r>
        <w:rPr>
          <w:rFonts w:ascii="Times New Roman;Times;Serif" w:hAnsi="Times New Roman;Times;Serif"/>
          <w:b w:val="false"/>
          <w:i w:val="false"/>
          <w:caps w:val="false"/>
          <w:smallCaps w:val="false"/>
          <w:sz w:val="20"/>
        </w:rPr>
        <w:t>. Within five (5) Trading Days of each Representation Date other than the date of this Agreement or as contemplated by Section 7(l)(iii), the Company shall cause its independent accountants to furnish the Agents letters (the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dated the date the Comfort Letter is delivered, which shall meet the requirements set forth in this Section 7(n); provided however, if no Placement Notice is pending at such Representation Date, then before the Company delivers a Placement Notice or the Lead Agent sells any Placement Shares, the Company shall provide the Agents with the Comfort Letter; provided, further, that if requested by the Agents, the Company shall cause a Comfort Letter to be furnished to the Agents within ten (10) Trading Days of the date of occurrence of any material transaction or event, including the restatement of the Company’s financial statements. The Comfort Letter from the Company’s independent accountants shall be in a form and substance satisfactory to the Lead Agent, (i) confirming that they are an independent public accounting firm within the meaning of the Securities Act and the Public Company Accounting Oversight Board,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Times;Serif" w:hAnsi="Times New Roman;Times;Serif"/>
          <w:b w:val="false"/>
          <w:i w:val="false"/>
          <w:caps w:val="false"/>
          <w:smallCaps w:val="false"/>
          <w:sz w:val="20"/>
          <w:u w:val="single"/>
        </w:rPr>
        <w:t>Initial Comfort Letter</w:t>
      </w:r>
      <w:r>
        <w:rPr>
          <w:rFonts w:ascii="Times New Roman;Times;Serif" w:hAnsi="Times New Roman;Times;Serif"/>
          <w:b w:val="false"/>
          <w:i w:val="false"/>
          <w:caps w:val="false"/>
          <w:smallCaps w:val="false"/>
          <w:sz w:val="20"/>
        </w:rPr>
        <w:t>”) and (iii) updating the Initial Comfort Letter with any information that would have been included in the Initial Comfort Letter had it been given on such date and modified as necessary to relate to the Registration Statement and the Prospectus, as amended and supplemented to the date of such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(o)               </w:t>
      </w:r>
      <w:r>
        <w:rPr>
          <w:rFonts w:ascii="Times New Roman;Times;Serif" w:hAnsi="Times New Roman;Times;Serif"/>
          <w:b w:val="false"/>
          <w:i w:val="false"/>
          <w:caps w:val="false"/>
          <w:smallCaps w:val="false"/>
          <w:sz w:val="20"/>
          <w:u w:val="single"/>
        </w:rPr>
        <w:t>Reserve Engineer Comfort Letter</w:t>
      </w:r>
      <w:r>
        <w:rPr>
          <w:rFonts w:ascii="Times New Roman;Times;Serif" w:hAnsi="Times New Roman;Times;Serif"/>
          <w:b w:val="false"/>
          <w:i w:val="false"/>
          <w:caps w:val="false"/>
          <w:smallCaps w:val="false"/>
          <w:sz w:val="20"/>
        </w:rPr>
        <w:t>. Within five (5) Trading Days of each Representation Date contemplated by Section 7(l)(ii), the Company shall cause each of the reserve engineers providing a consent for the applicable annual report on Form 10-K to furnish the Agents letters (the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dated the date the Comfort Letter is delivered, confirming, as of the date of its reserve report, that it was an independent reserve engineer for the Company and that, as of the date of such letter, no information had come to its attention that could reasonably have been expected to cause it to withdraw its reserve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(p)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The Company will not, directly or indirectly, (i) take any action designed to cause or result in, or that constitutes or might reasonably be expected to constitute, the stabilization or manipulation of the price of any security of the Company to facilitate the sale or resale of Common Stock or (ii) sell, bid for, or purchase Common Stock, or pay anyone any compensation for soliciting purchases of the Placement Shares other than the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(q)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will conduct its affairs in such a manner so as to reasonably ensure that it will not become, at any time prior to the termination of this Agreement, an “investment company,” as such term is defined in the Investment Company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(r)                </w:t>
      </w:r>
      <w:r>
        <w:rPr>
          <w:rFonts w:ascii="Times New Roman;Times;Serif" w:hAnsi="Times New Roman;Times;Serif"/>
          <w:b w:val="false"/>
          <w:i w:val="false"/>
          <w:caps w:val="false"/>
          <w:smallCaps w:val="false"/>
          <w:sz w:val="20"/>
          <w:u w:val="single"/>
        </w:rPr>
        <w:t>No Offer to Sell</w:t>
      </w:r>
      <w:r>
        <w:rPr>
          <w:rFonts w:ascii="Times New Roman;Times;Serif" w:hAnsi="Times New Roman;Times;Serif"/>
          <w:b w:val="false"/>
          <w:i w:val="false"/>
          <w:caps w:val="false"/>
          <w:smallCaps w:val="false"/>
          <w:sz w:val="20"/>
        </w:rPr>
        <w:t>. Other than an Issuer Free Writing Prospectus approved in advance by the Company and the Agents in their capacity as agent hereunder,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                </w:t>
      </w:r>
      <w:r>
        <w:rPr>
          <w:rFonts w:ascii="Times New Roman;Times;Serif" w:hAnsi="Times New Roman;Times;Serif"/>
          <w:b w:val="false"/>
          <w:i w:val="false"/>
          <w:caps w:val="false"/>
          <w:smallCaps w:val="false"/>
          <w:sz w:val="20"/>
          <w:u w:val="single"/>
        </w:rPr>
        <w:t>Sarbanes-Oxley Act</w:t>
      </w:r>
      <w:r>
        <w:rPr>
          <w:rFonts w:ascii="Times New Roman;Times;Serif" w:hAnsi="Times New Roman;Times;Serif"/>
          <w:b w:val="false"/>
          <w:i w:val="false"/>
          <w:caps w:val="false"/>
          <w:smallCaps w:val="false"/>
          <w:sz w:val="20"/>
        </w:rPr>
        <w:t>. The Company will maintain and keep accurate books and records reflecting its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will use its commercially reasonable efforts to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is made known to it by others within the Company, particularly during the period in which such periodic reports are being prepared.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8.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The Company will pay all expenses incident to the performance of its obligations under this Agreement, including (i) the preparation, filing, including any fees required by the Commission, and printing of the Registration Statement (including financial statements and exhibits) as originally filed and of each amendment and supplement thereto, in such number as the Lead Agent shall deem necessary, (ii) the printing and delivery to the Agents of this Agreement and such other documents as may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reasonable and documented out-of-pocket expenses of the Agents, including fees and disbursements of counsel to the Agents, up to $50,000 (which amount shall include all fees and disbursements of such counsel described in clause (ix) below) and quarterly disbursements of counsel to the Agents up to $7,500 per calendar quarter, (vi) the printing and delivery to the Agents of copies of any Permitted Issuer Free Writing Prospectus (defined below) and the Prospectus and any amendments or supplements thereto in such number as the Lead Agent shall deem necessary, (vii) the preparation, printing and delivery to the Agents of copies of the blue sky survey any supplements thereto, in such number as the Lead Agent shall deem necessary, (viii) the fees and expenses of the transfer agent and registrar for the Common Stock, (ix) the fees and expenses incident to any review by FINRA of the terms of the sale of the Placement Shares, including fees and expenses of counsel to the Agents, and (x) the fees and expenses incurred in connection with the listing of the Placement Shares on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9.             </w:t>
      </w:r>
      <w:r>
        <w:rPr>
          <w:rFonts w:ascii="Times New Roman;Times;Serif" w:hAnsi="Times New Roman;Times;Serif"/>
          <w:b w:val="false"/>
          <w:i w:val="false"/>
          <w:caps w:val="false"/>
          <w:smallCaps w:val="false"/>
          <w:sz w:val="20"/>
          <w:u w:val="single"/>
        </w:rPr>
        <w:t>Conditions to Obligations of the Agents</w:t>
      </w:r>
      <w:r>
        <w:rPr>
          <w:rFonts w:ascii="Times New Roman;Times;Serif" w:hAnsi="Times New Roman;Times;Serif"/>
          <w:b w:val="false"/>
          <w:i w:val="false"/>
          <w:caps w:val="false"/>
          <w:smallCaps w:val="false"/>
          <w:sz w:val="20"/>
        </w:rPr>
        <w:t>. The obligations of the Agents hereunder with respect to a Placement will be subject to the continuing accuracy and completeness of the representations and warranties made by the Company herein, to the due performance by the Company of its obligations hereunder, to the completion by the Agents of a due diligence review satisfactory to it in its reasonable judgment, and to the continuing satisfaction (or waiver by the Agents in their sole discretion) of the following additional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Registration Statement Effective</w:t>
      </w:r>
      <w:r>
        <w:rPr>
          <w:rFonts w:ascii="Times New Roman;Times;Serif" w:hAnsi="Times New Roman;Times;Serif"/>
          <w:b w:val="false"/>
          <w:i w:val="false"/>
          <w:caps w:val="false"/>
          <w:smallCaps w:val="false"/>
          <w:sz w:val="20"/>
        </w:rPr>
        <w:t>. The Registration Statement shall have become effective and shall be available for the sale of all Placement Shares contemplated to be issued by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No Material Notices</w:t>
      </w:r>
      <w:r>
        <w:rPr>
          <w:rFonts w:ascii="Times New Roman;Times;Serif" w:hAnsi="Times New Roman;Times;Serif"/>
          <w:b w:val="false"/>
          <w:i w:val="false"/>
          <w:caps w:val="false"/>
          <w:smallCaps w:val="false"/>
          <w:sz w:val="20"/>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material statement made in the Registration Statement or the Prospectus or any material document incorporated or deemed to be incorporated therein by reference untrue in any material respect or that requires the making of any changes in the Registration Statement, the Prospectus or documents so that, in the case of the Registration Statement, it will not contain any materially untrue statement of a material fact or omit to state any material fact required to be stated therein or necessary to make the statements therein not misleading and, that in the case of the Prospectus, it will not contain any materially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No Misstatement or Material Omission</w:t>
      </w:r>
      <w:r>
        <w:rPr>
          <w:rFonts w:ascii="Times New Roman;Times;Serif" w:hAnsi="Times New Roman;Times;Serif"/>
          <w:b w:val="false"/>
          <w:i w:val="false"/>
          <w:caps w:val="false"/>
          <w:smallCaps w:val="false"/>
          <w:sz w:val="20"/>
        </w:rPr>
        <w:t>. The Lead Agent shall not have advised the Company that the Registration Statement or Prospectus, or any amendment or supplement thereto, contains an untrue statement of fact that in such Lead Agent’s reasonable opinion is material, or omits to state a fact that in such Lead Agent’s opinion is material and is required to be stated therein or is necessary to make the statements therein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Material Changes</w:t>
      </w:r>
      <w:r>
        <w:rPr>
          <w:rFonts w:ascii="Times New Roman;Times;Serif" w:hAnsi="Times New Roman;Times;Serif"/>
          <w:b w:val="false"/>
          <w:i w:val="false"/>
          <w:caps w:val="false"/>
          <w:smallCaps w:val="false"/>
          <w:sz w:val="20"/>
        </w:rPr>
        <w:t>. Except as contemplated in the Prospectus, or disclosed in the Company’s reports filed with the Commission, there shall not have been any material adverse change, on a consolidated basis, in the authorized capital stock of the Company or any Material Adverse Effect, or any development that could reasonably be expected to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Lead Agent (without relieving the Company of any obligation or liability it may otherwise have), is so material as to make it impracticable or inadvisable to proceed with the offering of the Placement Shares on the terms and in the manner contemplated in the Prospectus.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u w:val="single"/>
        </w:rPr>
        <w:t>Legal Opinion</w:t>
      </w:r>
      <w:r>
        <w:rPr>
          <w:rFonts w:ascii="Times New Roman;Times;Serif" w:hAnsi="Times New Roman;Times;Serif"/>
          <w:b w:val="false"/>
          <w:i w:val="false"/>
          <w:caps w:val="false"/>
          <w:smallCaps w:val="false"/>
          <w:sz w:val="20"/>
        </w:rPr>
        <w:t>. The Agents shall have received the opinions of Company Counsel required to be delivered pursuant Section 7(m) on or before the date on which such delivery of such opinion is required pursuant to Section 7(m).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 The Agents shall have received the Comfort Letters required to be delivered pursuant Sections 7(n) and 7(o) on or before the date on which such delivery of such Comfort Letter is required pursuant to Sections 7(n) or 7(o),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u w:val="single"/>
        </w:rPr>
        <w:t>Representation Certificate</w:t>
      </w:r>
      <w:r>
        <w:rPr>
          <w:rFonts w:ascii="Times New Roman;Times;Serif" w:hAnsi="Times New Roman;Times;Serif"/>
          <w:b w:val="false"/>
          <w:i w:val="false"/>
          <w:caps w:val="false"/>
          <w:smallCaps w:val="false"/>
          <w:sz w:val="20"/>
        </w:rPr>
        <w:t>. The Agents shall have received the certificate required to be delivered pursuant to Section 7(l) on or before the date on which delivery of such certificate is required pursuant to Section 7(l).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(h)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On the date of this Agreement, the Agents shall have received a certificate, signed on behalf of the Company by its corporate Secretary, in form and substance satisfactory to the Lead Agent and counsel to the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u w:val="single"/>
        </w:rPr>
        <w:t>No Suspension</w:t>
      </w:r>
      <w:r>
        <w:rPr>
          <w:rFonts w:ascii="Times New Roman;Times;Serif" w:hAnsi="Times New Roman;Times;Serif"/>
          <w:b w:val="false"/>
          <w:i w:val="false"/>
          <w:caps w:val="false"/>
          <w:smallCaps w:val="false"/>
          <w:sz w:val="20"/>
        </w:rPr>
        <w:t>. Trading in the Common Stock shall not have been suspended on the Exchange, and the Common Stock shall not have been delisted from the Exchange.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(j)                 </w:t>
      </w:r>
      <w:r>
        <w:rPr>
          <w:rFonts w:ascii="Times New Roman;Times;Serif" w:hAnsi="Times New Roman;Times;Serif"/>
          <w:b w:val="false"/>
          <w:i w:val="false"/>
          <w:caps w:val="false"/>
          <w:smallCaps w:val="false"/>
          <w:sz w:val="20"/>
          <w:u w:val="single"/>
        </w:rPr>
        <w:t>Other Materials</w:t>
      </w:r>
      <w:r>
        <w:rPr>
          <w:rFonts w:ascii="Times New Roman;Times;Serif" w:hAnsi="Times New Roman;Times;Serif"/>
          <w:b w:val="false"/>
          <w:i w:val="false"/>
          <w:caps w:val="false"/>
          <w:smallCaps w:val="false"/>
          <w:sz w:val="20"/>
        </w:rPr>
        <w:t>. On each date on which the Company is required to deliver a certificate pursuant to Section 7(l), the Company shall have furnished to the Agents such appropriate further information, certificates and documents as the Lead Agent may reasonably request. All such opinions, certificates, letters and other documents will be in compliance with the provisions hereof. The Company will furnish the Agents with such conformed copies of such opinions, certificates, letters and other documents as the Lead Agent shall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(k)               </w:t>
      </w:r>
      <w:r>
        <w:rPr>
          <w:rFonts w:ascii="Times New Roman;Times;Serif" w:hAnsi="Times New Roman;Times;Serif"/>
          <w:b w:val="false"/>
          <w:i w:val="false"/>
          <w:caps w:val="false"/>
          <w:smallCaps w:val="false"/>
          <w:sz w:val="20"/>
          <w:u w:val="single"/>
        </w:rPr>
        <w:t>Securities Act Filings Made</w:t>
      </w:r>
      <w:r>
        <w:rPr>
          <w:rFonts w:ascii="Times New Roman;Times;Serif" w:hAnsi="Times New Roman;Times;Serif"/>
          <w:b w:val="false"/>
          <w:i w:val="false"/>
          <w:caps w:val="false"/>
          <w:smallCaps w:val="false"/>
          <w:sz w:val="20"/>
        </w:rPr>
        <w:t>. All filings with the Commission required by Rule 424 under the Securities Act to have been filed prior to the issuance of any Placement Notice hereunder shall have been made within the applicable time period prescribed for such filing by Rule 424.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(l)                 </w:t>
      </w:r>
      <w:r>
        <w:rPr>
          <w:rFonts w:ascii="Times New Roman;Times;Serif" w:hAnsi="Times New Roman;Times;Serif"/>
          <w:b w:val="false"/>
          <w:i w:val="false"/>
          <w:caps w:val="false"/>
          <w:smallCaps w:val="false"/>
          <w:sz w:val="20"/>
          <w:u w:val="single"/>
        </w:rPr>
        <w:t>Approval for Listing</w:t>
      </w:r>
      <w:r>
        <w:rPr>
          <w:rFonts w:ascii="Times New Roman;Times;Serif" w:hAnsi="Times New Roman;Times;Serif"/>
          <w:b w:val="false"/>
          <w:i w:val="false"/>
          <w:caps w:val="false"/>
          <w:smallCaps w:val="false"/>
          <w:sz w:val="20"/>
        </w:rPr>
        <w:t>. The Placement Shares shall either have been approved for listing quotation on the Exchange, subject only to notice of issuance, or the Company shall have filed an application for listing quotation of the Placement Shares on the Exchange at, or prior to, the issuance of any Placement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(m)             </w:t>
      </w:r>
      <w:r>
        <w:rPr>
          <w:rFonts w:ascii="Times New Roman;Times;Serif" w:hAnsi="Times New Roman;Times;Serif"/>
          <w:b w:val="false"/>
          <w:i w:val="false"/>
          <w:caps w:val="false"/>
          <w:smallCaps w:val="false"/>
          <w:sz w:val="20"/>
          <w:u w:val="single"/>
        </w:rPr>
        <w:t>No Termination Event</w:t>
      </w:r>
      <w:r>
        <w:rPr>
          <w:rFonts w:ascii="Times New Roman;Times;Serif" w:hAnsi="Times New Roman;Times;Serif"/>
          <w:b w:val="false"/>
          <w:i w:val="false"/>
          <w:caps w:val="false"/>
          <w:smallCaps w:val="false"/>
          <w:sz w:val="20"/>
        </w:rPr>
        <w:t>. There shall not have occurred any event that would permit the Agents to terminate this Agreement pursuant to Section 12(a).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10.           </w:t>
      </w:r>
      <w:r>
        <w:rPr>
          <w:rFonts w:ascii="Times New Roman;Times;Serif" w:hAnsi="Times New Roman;Times;Serif"/>
          <w:b w:val="false"/>
          <w:i w:val="false"/>
          <w:caps w:val="false"/>
          <w:smallCaps w:val="false"/>
          <w:sz w:val="20"/>
          <w:u w:val="single"/>
        </w:rPr>
        <w:t>Indemnification and 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Company Indemnification</w:t>
      </w:r>
      <w:r>
        <w:rPr>
          <w:rFonts w:ascii="Times New Roman;Times;Serif" w:hAnsi="Times New Roman;Times;Serif"/>
          <w:b w:val="false"/>
          <w:i w:val="false"/>
          <w:caps w:val="false"/>
          <w:smallCaps w:val="false"/>
          <w:sz w:val="20"/>
        </w:rPr>
        <w:t>. The Company agrees to indemnify and hold harmless each Agent, its partners, members, directors, officers, employees and agents and each person, if any, who controls such Agent within the meaning of Section 15 of the Securities Act or Section 20 of the Exchange Act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                 </w:t>
      </w:r>
      <w:r>
        <w:rPr>
          <w:rFonts w:ascii="Times New Roman;Times;Serif" w:hAnsi="Times New Roman;Times;Serif"/>
          <w:b w:val="false"/>
          <w:i w:val="false"/>
          <w:caps w:val="false"/>
          <w:smallCaps w:val="false"/>
          <w:sz w:val="20"/>
        </w:rPr>
        <w:t>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against any and all loss, liability, claim, damage and expense whatsoever, as incurred, joint or several,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10(d) below) any such settlement is effected with the written consent of the Agents, which consent shall not unreasonably be delayed or withheld;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(iii)               </w:t>
      </w:r>
      <w:r>
        <w:rPr>
          <w:rFonts w:ascii="Times New Roman;Times;Serif" w:hAnsi="Times New Roman;Times;Serif"/>
          <w:b w:val="false"/>
          <w:i w:val="false"/>
          <w:caps w:val="false"/>
          <w:smallCaps w:val="false"/>
          <w:sz w:val="20"/>
        </w:rPr>
        <w:t xml:space="preserve">against any and all expense whatsoever, as incurred (including the fees and disbursements of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indemnity agreement shall not apply to any loss, liability, claim, damage or expense to the extent arising out of any untrue statement or omission or alleged untrue statement or omission made solely in reliance upon and in conformity with written information furnished to the Company by an Agent expressly for use in the Registration Statement (or any amendment thereto), or in any related Issuer Free Writing Prospectus or the Prospectus (or any amendment or supplement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Agent Indemnification</w:t>
      </w:r>
      <w:r>
        <w:rPr>
          <w:rFonts w:ascii="Times New Roman;Times;Serif" w:hAnsi="Times New Roman;Times;Serif"/>
          <w:b w:val="false"/>
          <w:i w:val="false"/>
          <w:caps w:val="false"/>
          <w:smallCaps w:val="false"/>
          <w:sz w:val="20"/>
        </w:rPr>
        <w:t>. Each Agent agrees to indemnify and hold harmless the Company and its directors and each officer of the Company who signed the Registration Statement,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Section 10(a), as incurred, but only with respect to untrue statements or omissions, or alleged untrue statements or omissions, made in the Registration Statement (or any amendments thereto) or the Prospectus (or any amendment or supplement thereto) in reliance upon and in conformity with information relating to such Agent and furnished to the Company in writing by such Agent expressly for use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Any party that proposes to assert the right to be indemnified under this Section 10 will, promptly after receipt of notice of commencement of any action against such party in respect of which a claim is to be made against an indemnifying party or parties under this Section 10,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Section 10 and (ii) any liability that it may have to any indemnified party under the foregoing provision of this Section 10 unless, and only to the extent that, such omission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written advice of counsel) that there may be legal defenses available to it or other indemnified parties that are different from or in addition to those available to the indemnifying party, (3) a conflict or potential conflict exists (based on written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within a reasonable time after receiving notice of the commencement of the action, in each of which cases the reasonable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documented fees, disbursements and other charges of more than one separate firm admitted to practice in such jurisdiction at any one time for all such indemnified party or parties. All such fees, disbursements and other charges will be reimbursed by the indemnifying party promptly after the indemnifying party receives a written invoice relating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Section 10 (whether or not any indemnified party is a party thereto), unless such settlement, compromise or consent (1) includes an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In order to provide for just and equitable contribution in circumstances in which the indemnification provided for in the foregoing paragraphs of this Section 10 is applicable in accordance with its terms but for any reason is held to be unavailable from the Company or an Agent, the Company and such Agent will contribute to the total losses, claims, liabilities, expenses and damages (including any investigative, legal and other expenses reasonably incurred in connection with, and any amount paid in settlement of, any action, suit or proceeding or any claim asserted, but after deducting any contribution received by the Company from persons other than the Agents, such as persons who control the Company within the meaning of the Securities Act, officers of the Company who signed the Registration Statement and directors of the Company, who also may be liable for contribution)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the Agents agree that it would not be just and equitable if contributions pursuant to this Section 10(d)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Section 10(d) shall be deemed to include, for the purpose of this Section 10(d), any legal or other expenses reasonably incurred by such indemnified party in connection with investigating or defending any such action or claim to the extent consistent with Section 10(c) hereof. Notwithstanding the foregoing provisions of this Section 10(d), the Agents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Section 10(d), any person who controls a party to this Agreement within the meaning of the Securities Act, and any officers, directors, partners, employees or agents of the Agents, will have the same rights to contribution as that party, and each director and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Section 10(d), will notify any such party or parties from whom contribution may be sought, but the omission to so notify will not relieve that party or parties from whom contribution may be sought from any other obligation it or they may have under this Section 10(d) except to the extent that the failure to so notify such other party materially prejudiced the substantive rights or defenses of the party from whom contribution is sought. Except for a settlement entered into pursuant to the last sentence of Section 10(c) hereof, no party will be liable for contribution with respect to any action or claim settled without its written consent if such consent is required pursuant to Section 10(c)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11.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u w:val="single"/>
        </w:rPr>
        <w:t>Representations and Covenants of the Agents</w:t>
      </w:r>
      <w:r>
        <w:rPr>
          <w:rFonts w:ascii="Times New Roman;Times;Serif" w:hAnsi="Times New Roman;Times;Serif"/>
          <w:b w:val="false"/>
          <w:i w:val="false"/>
          <w:caps w:val="false"/>
          <w:smallCaps w:val="false"/>
          <w:sz w:val="20"/>
        </w:rPr>
        <w:t>. Each Agent represents and warrants that it is duly registered as a broker-dealer under FINRA, the Exchange Act and the applicable statutes and regulations of each state in which the Placement Shares will be offered and sold, except such states in which such Agent is exempt from registration or such registration is not otherwise required. Such Agent shall continue, for the term of this Agreement, to be duly registered as a broker-dealer under FINRA, the Exchange Act and the applicable statutes and regulations of each state in which the Placement Shares will be offered and sold, except such states in which such Agent is exempt from registration or such registration is not otherwise required, during the term of this Agreement. Such Agent shall comply with all applicable law and regulations in connection with the transactions contemplated by this Agreement, including the issuance and sale through the Agents of the Placement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u w:val="single"/>
        </w:rPr>
        <w:t>Representations and Agreements to Survive Delivery</w:t>
      </w:r>
      <w:r>
        <w:rPr>
          <w:rFonts w:ascii="Times New Roman;Times;Serif" w:hAnsi="Times New Roman;Times;Serif"/>
          <w:b w:val="false"/>
          <w:i w:val="false"/>
          <w:caps w:val="false"/>
          <w:smallCaps w:val="false"/>
          <w:sz w:val="20"/>
        </w:rPr>
        <w:t>. The indemnity and contribution agreements contained in Section 10 of this Agreement and all representations and warranties of the Company herein or in certificates delivered pursuant hereto shall survive, as of their respective dates, regardless of (i) any investigation made by or on behalf of the Agents, any controlling persons, or the Company (or any of their respective officers, directors or controlling persons), (ii) delivery and acceptance of the Placement Shares and payment therefor or (iii) any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Any Agent may terminate this Agreement, with respect only to itself, by notice to the Company, as hereinafter specified at any time (1) if there has been, since the time of execution of this Agreement or since the date as of which information is given in the Prospectus, any Material Adverse Effect, or any development that is reasonably likely to have a Material Adverse Effect or, in the sole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Section 8 (Payment of Expenses), Section 10 (Indemnification), Section 11 (Additional Covenants), Section 17 (Governing Law and Time; Consent to Jurisdiction) and Section 18 (Waiver of Jury Trial) hereof shall remain in full force and effect notwithstanding such termination. If such Agent elects to terminate this Agreement as provided in this Section 12(a), such Agent shall provide the required notice as specified in Section 13 (Notices).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The Company shall have the right, by giving five (5)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Each Agent shall have the right, by giving five (5) days’ written notice as hereinafter specified, to terminate this Agreement in its sole discretion at any time after the date of this Agreement. Any such termination shall be without liability of any party to any other party except that the provisions of Section 8, Section 10, Section 11, Section 17 and Section 18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Unless earlier terminated pursuant to this Section 12, this Agreement shall automatically terminate upon the issuance and sale of all of the Placement Shares through the Agents on the terms and subject to the conditions set forth herein; provided that the provisions of Section 8, Section 10, Section 11, Section 17 and Section 18 hereof shall remain in full force and effect notwithstanding such termination.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This Agreement shall remain in full force and effect unless terminated pursuant to Sections 12(a), (b), (c), or (d) above or otherwise by mutual agreement of the parties; provided, however, that any such termination by mutual agreement shall in all cases be deemed to provide that Section 8, Section 10, Section 11, Section 17 and Section 18 shall remain in full force and effect. Upon termination of this Agreement, the Company shall not have any liability to the Agents for any discount, commission or other compensation with respect to any Placement Shares not otherwise sold by the Agents under this Agreement.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(f)                </w:t>
      </w:r>
      <w:r>
        <w:rPr>
          <w:rFonts w:ascii="Times New Roman;Times;Serif" w:hAnsi="Times New Roman;Times;Serif"/>
          <w:b w:val="false"/>
          <w:i w:val="false"/>
          <w:caps w:val="false"/>
          <w:smallCaps w:val="false"/>
          <w:sz w:val="20"/>
        </w:rPr>
        <w:t>Any termination of this Agreement shall be effective on the date specified in such notice of termination; provided, however,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(g)               </w:t>
      </w:r>
      <w:r>
        <w:rPr>
          <w:rFonts w:ascii="Times New Roman;Times;Serif" w:hAnsi="Times New Roman;Times;Serif"/>
          <w:b w:val="false"/>
          <w:i w:val="false"/>
          <w:caps w:val="false"/>
          <w:smallCaps w:val="false"/>
          <w:sz w:val="20"/>
        </w:rPr>
        <w:t>Subject to the additional limitations set forth in Section 8 of this Agreement, in the event of termination of this Agreement prior to the sale of any Placement Shares, the Agents shall be entitled only to reimbursement of its out-of-pocket expenses actually incurred.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13.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to be given by any party to any other party pursuant to the terms of this Agreement shall be in writing, unless otherwise specified, and if sent to the Agents, shall be delivered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 as Lead Agent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 San Clemente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Newport Beach, CA 92660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Managing Director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amontano@roth.com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South Fifth Street, Suite 3300</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Minneapolis, MN 55402</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Ted Warner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612-851-4906</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twarner@northlandcapitalmarkets.com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 Madison Avenue</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10022</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Thomas J. Higgins</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212-624-2117</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thiggins@allianceg.com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Porter Hedges LLP</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Main Street, 35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77002</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Kevin Poli</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kpoli@porterhedges.com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if to the Company, shall be delivered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Petroleum Corporation</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 Dairy Ashford St., Suite 425</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77079</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Kelly Loyd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kloyd@evolutionpetroleum.com</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Mayer Brown LLP</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 Avenue of the Americas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10020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Bill Heller; David Bakst</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wheller@mayerbrown.com; dbakst@mayerbrown.com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electronic communication (“</w:t>
      </w:r>
      <w:r>
        <w:rPr>
          <w:rFonts w:ascii="Times New Roman;Times;Serif" w:hAnsi="Times New Roman;Times;Serif"/>
          <w:b w:val="false"/>
          <w:i w:val="false"/>
          <w:caps w:val="false"/>
          <w:smallCaps w:val="false"/>
          <w:sz w:val="20"/>
          <w:u w:val="single"/>
        </w:rPr>
        <w:t>Electronic Notice</w:t>
      </w:r>
      <w:r>
        <w:rPr>
          <w:rFonts w:ascii="Times New Roman;Times;Serif" w:hAnsi="Times New Roman;Times;Serif"/>
          <w:b w:val="false"/>
          <w:i w:val="false"/>
          <w:caps w:val="false"/>
          <w:smallCaps w:val="false"/>
          <w:sz w:val="20"/>
        </w:rPr>
        <w:t>”) shall be deemed written notice for purposes of this Section 13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Times;Serif" w:hAnsi="Times New Roman;Times;Serif"/>
          <w:b w:val="false"/>
          <w:i w:val="false"/>
          <w:caps w:val="false"/>
          <w:smallCaps w:val="false"/>
          <w:sz w:val="20"/>
          <w:u w:val="single"/>
        </w:rPr>
        <w:t>Nonelectronic Notic</w:t>
      </w:r>
      <w:r>
        <w:rPr>
          <w:rFonts w:ascii="Times New Roman;Times;Serif" w:hAnsi="Times New Roman;Times;Serif"/>
          <w:b w:val="false"/>
          <w:i w:val="false"/>
          <w:caps w:val="false"/>
          <w:smallCaps w:val="false"/>
          <w:sz w:val="20"/>
        </w:rPr>
        <w:t>e”) which shall be sent to the requesting party within ten (10) days of receipt of the written request for Nonelectronic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14.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be binding upon the Company and the Agents and their respective successors and the affiliates, controlling persons, officers and directors referred to in Section 10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provided, however, that any Agent may assign its rights and obligations hereunder to an affiliate thereof without obtaining the Company’s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15.           </w:t>
      </w:r>
      <w:r>
        <w:rPr>
          <w:rFonts w:ascii="Times New Roman;Times;Serif" w:hAnsi="Times New Roman;Times;Serif"/>
          <w:b w:val="false"/>
          <w:i w:val="false"/>
          <w:caps w:val="false"/>
          <w:smallCaps w:val="false"/>
          <w:sz w:val="20"/>
          <w:u w:val="single"/>
        </w:rPr>
        <w:t>Adjustments for Stock Splits</w:t>
      </w:r>
      <w:r>
        <w:rPr>
          <w:rFonts w:ascii="Times New Roman;Times;Serif" w:hAnsi="Times New Roman;Times;Serif"/>
          <w:b w:val="false"/>
          <w:i w:val="false"/>
          <w:caps w:val="false"/>
          <w:smallCaps w:val="false"/>
          <w:sz w:val="20"/>
        </w:rPr>
        <w:t>. The parties acknowledge and agree that all share-related numbers contained in this Agreement shall be adjusted to take into account any stock split, stock dividend or similar event effected with respect to the Placement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16.           </w:t>
      </w:r>
      <w:r>
        <w:rPr>
          <w:rFonts w:ascii="Times New Roman;Times;Serif" w:hAnsi="Times New Roman;Times;Serif"/>
          <w:b w:val="false"/>
          <w:i w:val="false"/>
          <w:caps w:val="false"/>
          <w:smallCaps w:val="false"/>
          <w:sz w:val="20"/>
          <w:u w:val="single"/>
        </w:rPr>
        <w:t>Entire Agreement; Amendment; Severability</w:t>
      </w:r>
      <w:r>
        <w:rPr>
          <w:rFonts w:ascii="Times New Roman;Times;Serif" w:hAnsi="Times New Roman;Times;Serif"/>
          <w:b w:val="false"/>
          <w:i w:val="false"/>
          <w:caps w:val="false"/>
          <w:smallCaps w:val="false"/>
          <w:sz w:val="20"/>
        </w:rPr>
        <w:t>.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Agents.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17.           </w:t>
      </w:r>
      <w:r>
        <w:rPr>
          <w:rFonts w:ascii="Times New Roman;Times;Serif" w:hAnsi="Times New Roman;Times;Serif"/>
          <w:b/>
          <w:i w:val="false"/>
          <w:caps w:val="false"/>
          <w:smallCaps w:val="false"/>
          <w:sz w:val="20"/>
          <w:u w:val="single"/>
        </w:rPr>
        <w:t>GOVERNING LAW AND TIME; WAIVER OF JURY TRIAL</w:t>
      </w:r>
      <w:r>
        <w:rPr>
          <w:rFonts w:ascii="Times New Roman;Times;Serif" w:hAnsi="Times New Roman;Times;Serif"/>
          <w:b/>
          <w:i w:val="false"/>
          <w:caps w:val="false"/>
          <w:smallCaps w:val="false"/>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18.           </w:t>
      </w:r>
      <w:r>
        <w:rPr>
          <w:rFonts w:ascii="Times New Roman;Times;Serif" w:hAnsi="Times New Roman;Times;Serif"/>
          <w:b/>
          <w:i w:val="false"/>
          <w:caps w:val="false"/>
          <w:smallCaps w:val="false"/>
          <w:sz w:val="20"/>
          <w:u w:val="single"/>
        </w:rPr>
        <w:t>CONSENT TO JURISDICTION</w:t>
      </w:r>
      <w:r>
        <w:rPr>
          <w:rFonts w:ascii="Times New Roman;Times;Serif" w:hAnsi="Times New Roman;Times;Serif"/>
          <w:b/>
          <w:i w:val="false"/>
          <w:caps w:val="false"/>
          <w:smallCaps w:val="false"/>
          <w:sz w:val="20"/>
        </w:rPr>
        <w:t>. EACH PARTY HEREBY IRREVOCABLY SUBMITS TO THE NON-EXCLUSIVE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19.           </w:t>
      </w:r>
      <w:r>
        <w:rPr>
          <w:rFonts w:ascii="Times New Roman;Times;Serif" w:hAnsi="Times New Roman;Times;Serif"/>
          <w:b w:val="false"/>
          <w:i w:val="false"/>
          <w:caps w:val="false"/>
          <w:smallCaps w:val="false"/>
          <w:sz w:val="20"/>
          <w:u w:val="single"/>
        </w:rPr>
        <w:t>Use of Information</w:t>
      </w:r>
      <w:r>
        <w:rPr>
          <w:rFonts w:ascii="Times New Roman;Times;Serif" w:hAnsi="Times New Roman;Times;Serif"/>
          <w:b w:val="false"/>
          <w:i w:val="false"/>
          <w:caps w:val="false"/>
          <w:smallCaps w:val="false"/>
          <w:sz w:val="20"/>
        </w:rPr>
        <w:t>. The Agents may not use any information gained in connection with this Agreement and the transactions contemplated by this Agreement, including due diligence, to advise any party with respect to transactions not expressly approved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two or more counterparts, each of which shall be deemed an original, but all of which together shall constitute one and the same instrument. Delivery of an executed Agreement by one party to the other may be made by facsimile transmission or email delivery of an executed Agreement as an attachment in .pdf format.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21.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and Exhibit headings herein are for convenience only and shall not affect the construction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22.           </w:t>
      </w:r>
      <w:r>
        <w:rPr>
          <w:rFonts w:ascii="Times New Roman;Times;Serif" w:hAnsi="Times New Roman;Times;Serif"/>
          <w:b w:val="false"/>
          <w:i w:val="false"/>
          <w:caps w:val="false"/>
          <w:smallCaps w:val="false"/>
          <w:sz w:val="20"/>
          <w:u w:val="single"/>
        </w:rPr>
        <w:t>Permitted Free Writing Prospectuses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warrants and agrees that, unless it obtains the prior consent of each Agent, and each Agent represents, warrants and agrees that, unless it obtains the prior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23.           </w:t>
      </w:r>
      <w:r>
        <w:rPr>
          <w:rFonts w:ascii="Times New Roman;Times;Serif" w:hAnsi="Times New Roman;Times;Serif"/>
          <w:b w:val="false"/>
          <w:i w:val="false"/>
          <w:caps w:val="false"/>
          <w:smallCaps w:val="false"/>
          <w:sz w:val="20"/>
          <w:u w:val="single"/>
        </w:rPr>
        <w:t>Absence of Fiduciary Relationship</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(a)               </w:t>
      </w:r>
      <w:r>
        <w:rPr>
          <w:rFonts w:ascii="Times New Roman;Times;Serif" w:hAnsi="Times New Roman;Times;Serif"/>
          <w:b w:val="false"/>
          <w:i w:val="false"/>
          <w:caps w:val="false"/>
          <w:smallCaps w:val="false"/>
          <w:sz w:val="20"/>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no Agent has an obligation to the Company with respect to the transactions contemplated by this Agreement except the obligations expressly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(b)               </w:t>
      </w:r>
      <w:r>
        <w:rPr>
          <w:rFonts w:ascii="Times New Roman;Times;Serif" w:hAnsi="Times New Roman;Times;Serif"/>
          <w:b w:val="false"/>
          <w:i w:val="false"/>
          <w:caps w:val="false"/>
          <w:smallCaps w:val="false"/>
          <w:sz w:val="20"/>
        </w:rPr>
        <w:t>it is capable of evaluating and understanding, and understands and accepts, the terms, risks and conditions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(c)               </w:t>
      </w:r>
      <w:r>
        <w:rPr>
          <w:rFonts w:ascii="Times New Roman;Times;Serif" w:hAnsi="Times New Roman;Times;Serif"/>
          <w:b w:val="false"/>
          <w:i w:val="false"/>
          <w:caps w:val="false"/>
          <w:smallCaps w:val="false"/>
          <w:sz w:val="20"/>
        </w:rPr>
        <w:t>no Agent has provided any legal, accounting, regulatory or tax advice with respect to the transactions contemplated by this Agreement and it has consulted its own legal, accounting, regulatory and tax advisors to the extent it has deemed appropriate;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(d)               </w:t>
      </w:r>
      <w:r>
        <w:rPr>
          <w:rFonts w:ascii="Times New Roman;Times;Serif" w:hAnsi="Times New Roman;Times;Serif"/>
          <w:b w:val="false"/>
          <w:i w:val="false"/>
          <w:caps w:val="false"/>
          <w:smallCaps w:val="false"/>
          <w:sz w:val="20"/>
        </w:rPr>
        <w:t>it is aware that the Agents and their affiliates are engaged in a broad range of transactions which may involve interests that differ from those of the Company and the Agents have no obligation to disclose such interests and transactions to the Company by virtue of any fiduciary, advisory or agency relationship or otherwise;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(e)               </w:t>
      </w:r>
      <w:r>
        <w:rPr>
          <w:rFonts w:ascii="Times New Roman;Times;Serif" w:hAnsi="Times New Roman;Times;Serif"/>
          <w:b w:val="false"/>
          <w:i w:val="false"/>
          <w:caps w:val="false"/>
          <w:smallCaps w:val="false"/>
          <w:sz w:val="20"/>
        </w:rPr>
        <w:t>it waives, to the fullest extent permitted by law, any claims it may have against any Agent for breach of fiduciary duty or alleged breach of fiduciary duty in connection with the sale of Placement Shares under this Agreement and agrees that no Agent shall have any liability (whether direct or indirect, in contract, tort or otherwise) to it in respect of such a fiduciary duty claim or to any person asserting a fiduciary duty claim on its behalf or in right of it or the Company, employees or creditors of Company, other than in respect of the Agents’ obligations under this Agreement and to keep information provided by the Company to the Agents and the counsel to the Agents confidential to the extent not otherwise publicly-available.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24.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 the following terms have the respective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Time</w:t>
      </w:r>
      <w:r>
        <w:rPr>
          <w:rFonts w:ascii="Times New Roman;Times;Serif" w:hAnsi="Times New Roman;Times;Serif"/>
          <w:b w:val="false"/>
          <w:i w:val="false"/>
          <w:caps w:val="false"/>
          <w:smallCaps w:val="false"/>
          <w:sz w:val="20"/>
        </w:rPr>
        <w:t>” means (i) each Representation Date, (ii) the time of each sale of any Placement Shares pursuant to this Agreement, and (iii) each Settlement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on which the Exchange and commercial banks in the City of New York are open for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Issuer Free Writing Prospectus</w:t>
      </w:r>
      <w:r>
        <w:rPr>
          <w:rFonts w:ascii="Times New Roman;Times;Serif" w:hAnsi="Times New Roman;Times;Serif"/>
          <w:b w:val="false"/>
          <w:i w:val="false"/>
          <w:caps w:val="false"/>
          <w:smallCaps w:val="false"/>
          <w:sz w:val="20"/>
        </w:rPr>
        <w:t>”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172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405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424(b)</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Rule 430B</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Rule 433</w:t>
      </w:r>
      <w:r>
        <w:rPr>
          <w:rFonts w:ascii="Times New Roman;Times;Serif" w:hAnsi="Times New Roman;Times;Serif"/>
          <w:b w:val="false"/>
          <w:i w:val="false"/>
          <w:caps w:val="false"/>
          <w:smallCaps w:val="false"/>
          <w:sz w:val="20"/>
        </w:rPr>
        <w:t>” refer to such rules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any day on which shares of Common Stock are purchased and sold on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Company and the Agents, please so indicate in the space provided below for that purpose, whereupon this Agreement shall constitute a binding agreement between the Company and the Agents.</w:t>
      </w:r>
    </w:p>
    <w:p>
      <w:pPr>
        <w:pStyle w:val="TextBody"/>
        <w:bidi w:val="0"/>
        <w:spacing w:before="0" w:after="0"/>
        <w:ind w:left="0" w:right="0" w:firstLine="720"/>
        <w:jc w:val="left"/>
        <w:rPr>
          <w:caps w:val="false"/>
          <w:smallCaps w:val="false"/>
        </w:rPr>
      </w:pPr>
      <w:r>
        <w:rPr>
          <w:caps w:val="false"/>
          <w:smallCaps w:val="false"/>
        </w:rPr>
        <w:t> </w:t>
      </w:r>
    </w:p>
    <w:tbl>
      <w:tblPr>
        <w:tblW w:w="5439" w:type="dxa"/>
        <w:jc w:val="left"/>
        <w:tblInd w:w="0" w:type="dxa"/>
        <w:tblLayout w:type="fixed"/>
        <w:tblCellMar>
          <w:top w:w="0" w:type="dxa"/>
          <w:left w:w="0" w:type="dxa"/>
          <w:bottom w:w="0" w:type="dxa"/>
          <w:right w:w="0" w:type="dxa"/>
        </w:tblCellMar>
      </w:tblPr>
      <w:tblGrid>
        <w:gridCol w:w="80"/>
        <w:gridCol w:w="768"/>
        <w:gridCol w:w="4591"/>
      </w:tblGrid>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CORPORATION</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Ryan Stash</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Ryan Stash </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 Chief Financial Officer and Treasurer</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first-above written:</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ROTH CAPITAL PARTNERS, LLC</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Alexander Montano</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Name:Alexander Montano</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 Head of Energy Investment Banking</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NORTHLAND SECURITIES, INC.</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Ted Warner</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Name:Ted Warner</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Head of Energy &amp; Power Investment Banking</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A.G.P./Alliance Global Partners</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59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J. Higgins</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Name:Thomas J. Higgins</w:t>
            </w:r>
          </w:p>
        </w:tc>
      </w:tr>
      <w:tr>
        <w:trPr/>
        <w:tc>
          <w:tcPr>
            <w:tcW w:w="80" w:type="dxa"/>
            <w:tcBorders/>
            <w:vAlign w:val="center"/>
          </w:tcPr>
          <w:p>
            <w:pPr>
              <w:pStyle w:val="TableContents"/>
              <w:bidi w:val="0"/>
              <w:spacing w:before="0" w:after="283"/>
              <w:jc w:val="left"/>
              <w:rPr/>
            </w:pPr>
            <w:r>
              <w:rPr/>
              <w:t> </w:t>
            </w:r>
          </w:p>
        </w:tc>
        <w:tc>
          <w:tcPr>
            <w:tcW w:w="535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PLACEMENT NOTICE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629" w:type="dxa"/>
        <w:jc w:val="left"/>
        <w:tblInd w:w="0" w:type="dxa"/>
        <w:tblLayout w:type="fixed"/>
        <w:tblCellMar>
          <w:top w:w="0" w:type="dxa"/>
          <w:left w:w="0" w:type="dxa"/>
          <w:bottom w:w="0" w:type="dxa"/>
          <w:right w:w="0" w:type="dxa"/>
        </w:tblCellMar>
      </w:tblPr>
      <w:tblGrid>
        <w:gridCol w:w="875"/>
        <w:gridCol w:w="1681"/>
        <w:gridCol w:w="2073"/>
      </w:tblGrid>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PETROLEUM CORPORATION</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ROTH CAPITAL PARTNERS, LLC</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energy@roth.com</w:t>
              <w:br/>
              <w:t>rothecm@roth.com</w:t>
              <w:br/>
              <w:t>atmdesk@roth.com</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NORTHLAND SECURITIES, INC.</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twarner@northlandcapitalmarkets.com</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A.G.P./ALLIANCE GLOBAL PARTNERS</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atm@allianceg.com</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w:t>
            </w:r>
          </w:p>
        </w:tc>
        <w:tc>
          <w:tcPr>
            <w:tcW w:w="375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Placement Notice</w:t>
            </w:r>
          </w:p>
        </w:tc>
      </w:tr>
      <w:tr>
        <w:trPr/>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3754" w:type="dxa"/>
            <w:gridSpan w:val="2"/>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68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73"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Sales Agreement between, Evolution Petroleum Corporation (the “Company”), and Roth Capital Partners, LLC (the “Lead Agent”), Northland Securities, Inc. and A.G.P./Alliance Global Partners, dated February 11, 2026, the Company hereby requests that the Lead Agent sell up to ____________ of the Company’s Common Stock, $0.001 par value per share, at a minimum market price of $_______ per share, during the time period beginning [month, day, time] and ending [month, day, time]. [the Company may include such other sales parameters as it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Lead Agent in cash, upon each sale of Placement Shares pursuant to this Agreement, an amount equal to 3% of the gross proceeds from each sale of 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Parties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Company</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130"/>
        <w:gridCol w:w="3095"/>
      </w:tblGrid>
      <w:tr>
        <w:trPr/>
        <w:tc>
          <w:tcPr>
            <w:tcW w:w="1130" w:type="dxa"/>
            <w:tcBorders/>
            <w:vAlign w:val="center"/>
          </w:tcPr>
          <w:p>
            <w:pPr>
              <w:pStyle w:val="TableContents"/>
              <w:bidi w:val="0"/>
              <w:spacing w:before="0" w:after="283"/>
              <w:jc w:val="left"/>
              <w:rPr/>
            </w:pPr>
            <w:r>
              <w:rPr/>
              <w:t>Kelly Loyd</w:t>
            </w:r>
          </w:p>
        </w:tc>
        <w:tc>
          <w:tcPr>
            <w:tcW w:w="3095" w:type="dxa"/>
            <w:tcBorders/>
            <w:vAlign w:val="center"/>
          </w:tcPr>
          <w:p>
            <w:pPr>
              <w:pStyle w:val="TableContents"/>
              <w:bidi w:val="0"/>
              <w:spacing w:before="0" w:after="283"/>
              <w:jc w:val="both"/>
              <w:rPr/>
            </w:pPr>
            <w:r>
              <w:rPr/>
              <w:t>kloyd@evolutionpetroleum.com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Roth Capital Partners,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1280"/>
        <w:gridCol w:w="1760"/>
      </w:tblGrid>
      <w:tr>
        <w:trPr/>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Lou Ellis</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LEllis@roth.com</w:t>
            </w:r>
          </w:p>
        </w:tc>
      </w:tr>
      <w:tr>
        <w:trPr/>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Nazan Akdeniz</w:t>
            </w:r>
          </w:p>
        </w:tc>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NAkdeniz@roth.com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a copy to </w:t>
      </w:r>
      <w:r>
        <w:rPr>
          <w:rFonts w:ascii="Times New Roman;Times;Serif" w:hAnsi="Times New Roman;Times;Serif"/>
          <w:b w:val="false"/>
          <w:i w:val="false"/>
          <w:caps w:val="false"/>
          <w:smallCaps w:val="false"/>
          <w:sz w:val="20"/>
          <w:u w:val="single"/>
        </w:rPr>
        <w:t>RothECM@roth.com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Northland Securities,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twarner@northlandcapitalmarkets.com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A.G.P./Alliance Global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atm@allianceg.com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Representation Date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 20__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Representation Date Certificate (this “Certificate”) is executed and delivered in connection with Section 7(l) of the Sales Agreement (the “Agreement”), dated February 11, 2026, and entered into between Evolution Petroleum Corporation (the “Company”), Roth Capital Partners, LLC, Northland Securities, Inc. and A.G.P./Alliance Global Partners. All capitalized terms used but not defined herein shall have the meanings given to such terms in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 duly appointed and authorized officer of the Company, having made all necessary inquiries to establish the accuracy of the statements below and having been authorized by the Company to execute this certificate, hereby certifies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7"/>
        <w:gridCol w:w="10021"/>
      </w:tblGrid>
      <w:tr>
        <w:trPr/>
        <w:tc>
          <w:tcPr>
            <w:tcW w:w="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1.</w:t>
            </w:r>
          </w:p>
        </w:tc>
        <w:tc>
          <w:tcPr>
            <w:tcW w:w="10021" w:type="dxa"/>
            <w:tcBorders/>
            <w:vAlign w:val="center"/>
          </w:tcPr>
          <w:p>
            <w:pPr>
              <w:pStyle w:val="TableContents"/>
              <w:bidi w:val="0"/>
              <w:spacing w:before="0" w:after="283"/>
              <w:jc w:val="both"/>
              <w:rPr/>
            </w:pPr>
            <w:r>
              <w:rPr/>
              <w:t>As of the date of this Certificate, (i) the Registration Statement does not contain any untrue statement of a material fact or omit to state a material fact required to be stated therein or necessary in order to make the statements therein not misleading and (ii) neither the Registration Statement nor the Prospectus contain any untrue statement of a material fact or omit to state a material fact required to be stated therein or necessary in order to make the statements therein, in light of the circumstances under which they were made, not misleading and (iii) no event has occurred as a result of which it is necessary to amend or supplement the Prospectus in order to make the statements therein not untrue or misleading.</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2.</w:t>
            </w:r>
          </w:p>
        </w:tc>
        <w:tc>
          <w:tcPr>
            <w:tcW w:w="9999" w:type="dxa"/>
            <w:tcBorders/>
            <w:vAlign w:val="center"/>
          </w:tcPr>
          <w:p>
            <w:pPr>
              <w:pStyle w:val="TableContents"/>
              <w:bidi w:val="0"/>
              <w:spacing w:before="0" w:after="283"/>
              <w:jc w:val="both"/>
              <w:rPr/>
            </w:pPr>
            <w:r>
              <w:rPr/>
              <w:t>Each of the representations and warranties of the Company contained in the Agreement were, when originally made, and are, as of the date of this Certificate, true and correct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pPr>
            <w:r>
              <w:rPr/>
              <w:t>3.</w:t>
            </w:r>
          </w:p>
        </w:tc>
        <w:tc>
          <w:tcPr>
            <w:tcW w:w="10018" w:type="dxa"/>
            <w:tcBorders/>
            <w:vAlign w:val="center"/>
          </w:tcPr>
          <w:p>
            <w:pPr>
              <w:pStyle w:val="TableContents"/>
              <w:bidi w:val="0"/>
              <w:spacing w:before="0" w:after="283"/>
              <w:jc w:val="both"/>
              <w:rPr/>
            </w:pPr>
            <w:r>
              <w:rPr/>
              <w:t>Each of the covenants required to be performed by the Company in the Agreement on or prior to the date of the Agreement, this Representation Date, and each such other date as set forth in the Agreement, has been duly, timely and fully performed in all material respects and each condition required to be complied with by the Company on or prior to the date of the Agreement, this Representation Date, and each such other date as set forth in the Agreement or in the Waivers has been duly, timely and fully complied with in all material respects.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4.</w:t>
            </w:r>
          </w:p>
        </w:tc>
        <w:tc>
          <w:tcPr>
            <w:tcW w:w="9999" w:type="dxa"/>
            <w:tcBorders/>
            <w:vAlign w:val="center"/>
          </w:tcPr>
          <w:p>
            <w:pPr>
              <w:pStyle w:val="TableContents"/>
              <w:bidi w:val="0"/>
              <w:spacing w:before="0" w:after="283"/>
              <w:jc w:val="both"/>
              <w:rPr/>
            </w:pPr>
            <w:r>
              <w:rPr/>
              <w:t>Subsequent to the date of the most recent financial statements in the Prospectus, and except as described in the Prospectus, including Incorporated Documents, there has been no Material Adverse Effect.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5.</w:t>
            </w:r>
          </w:p>
        </w:tc>
        <w:tc>
          <w:tcPr>
            <w:tcW w:w="10009" w:type="dxa"/>
            <w:tcBorders/>
            <w:vAlign w:val="center"/>
          </w:tcPr>
          <w:p>
            <w:pPr>
              <w:pStyle w:val="TableContents"/>
              <w:bidi w:val="0"/>
              <w:spacing w:before="0" w:after="283"/>
              <w:jc w:val="both"/>
              <w:rPr/>
            </w:pPr>
            <w:r>
              <w:rPr/>
              <w:t>No stop order suspending the effectiveness of the Registration Statement or of any part thereof has been issued, and no proceedings for that purpose have been instituted or are pending or threatened by any securities or other governmental authority (including, without limitation, the Commission).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Representation Date Certificate as of the date first written above.</w:t>
      </w:r>
    </w:p>
    <w:p>
      <w:pPr>
        <w:pStyle w:val="TextBody"/>
        <w:bidi w:val="0"/>
        <w:spacing w:before="0" w:after="0"/>
        <w:ind w:left="4320" w:right="0" w:hanging="0"/>
        <w:jc w:val="left"/>
        <w:rPr>
          <w:caps w:val="false"/>
          <w:smallCaps w:val="false"/>
        </w:rPr>
      </w:pPr>
      <w:r>
        <w:rPr>
          <w:caps w:val="false"/>
          <w:smallCaps w:val="false"/>
        </w:rPr>
        <w:t> </w:t>
      </w:r>
    </w:p>
    <w:tbl>
      <w:tblPr>
        <w:tblW w:w="4104" w:type="dxa"/>
        <w:jc w:val="left"/>
        <w:tblInd w:w="0" w:type="dxa"/>
        <w:tblLayout w:type="fixed"/>
        <w:tblCellMar>
          <w:top w:w="0" w:type="dxa"/>
          <w:left w:w="0" w:type="dxa"/>
          <w:bottom w:w="0" w:type="dxa"/>
          <w:right w:w="0" w:type="dxa"/>
        </w:tblCellMar>
      </w:tblPr>
      <w:tblGrid>
        <w:gridCol w:w="80"/>
        <w:gridCol w:w="2606"/>
        <w:gridCol w:w="1418"/>
      </w:tblGrid>
      <w:tr>
        <w:trPr/>
        <w:tc>
          <w:tcPr>
            <w:tcW w:w="8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EVOLUTION PETROLEUM CORPORATION</w:t>
            </w:r>
          </w:p>
        </w:tc>
      </w:tr>
      <w:tr>
        <w:trPr/>
        <w:tc>
          <w:tcPr>
            <w:tcW w:w="8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2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418"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8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80" w:type="dxa"/>
            <w:tcBorders/>
            <w:vAlign w:val="center"/>
          </w:tcPr>
          <w:p>
            <w:pPr>
              <w:pStyle w:val="TableContents"/>
              <w:bidi w:val="0"/>
              <w:spacing w:before="0" w:after="283"/>
              <w:jc w:val="left"/>
              <w:rPr/>
            </w:pPr>
            <w:r>
              <w:rPr/>
              <w:t> </w:t>
            </w:r>
          </w:p>
        </w:tc>
        <w:tc>
          <w:tcPr>
            <w:tcW w:w="40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5" w:name="tm262831d5_ex5-1.htm"/>
      <w:bookmarkStart w:id="26" w:name="kstm262831d5_ex51"/>
      <w:bookmarkEnd w:id="25"/>
      <w:bookmarkEnd w:id="26"/>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5795" w:type="dxa"/>
        <w:jc w:val="left"/>
        <w:tblInd w:w="0" w:type="dxa"/>
        <w:tblLayout w:type="fixed"/>
        <w:tblCellMar>
          <w:top w:w="0" w:type="dxa"/>
          <w:left w:w="0" w:type="dxa"/>
          <w:bottom w:w="0" w:type="dxa"/>
          <w:right w:w="0" w:type="dxa"/>
        </w:tblCellMar>
      </w:tblPr>
      <w:tblGrid>
        <w:gridCol w:w="2445"/>
        <w:gridCol w:w="60"/>
        <w:gridCol w:w="3290"/>
      </w:tblGrid>
      <w:tr>
        <w:trPr/>
        <w:tc>
          <w:tcPr>
            <w:tcW w:w="2445" w:type="dxa"/>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5430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304800"/>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290" w:type="dxa"/>
            <w:tcBorders>
              <w:left w:val="single" w:sz="8" w:space="0" w:color="000000"/>
            </w:tcBorders>
            <w:tcMar>
              <w:left w:w="180" w:type="dxa"/>
            </w:tcMar>
            <w:vAlign w:val="center"/>
          </w:tcPr>
          <w:p>
            <w:pPr>
              <w:pStyle w:val="TableContents"/>
              <w:bidi w:val="0"/>
              <w:ind w:left="360" w:right="0" w:hanging="0"/>
              <w:jc w:val="both"/>
              <w:rPr/>
            </w:pPr>
            <w:r>
              <w:rPr/>
              <w:t> </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7800 Rancharrah Parkway</w:t>
              <w:br/>
              <w:t>Reno, NV 89511</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 (775) 788-2200 | FX (775) 786-1177</w:t>
            </w:r>
          </w:p>
          <w:p>
            <w:pPr>
              <w:pStyle w:val="TableContents"/>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fennemorecraig.com</w:t>
            </w:r>
          </w:p>
          <w:p>
            <w:pPr>
              <w:pStyle w:val="TableContents"/>
              <w:bidi w:val="0"/>
              <w:spacing w:before="0" w:after="283"/>
              <w:ind w:left="360" w:right="0" w:hanging="0"/>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11,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Evolution Petroleum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 Dairy Ashford, Suite 425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 77079</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999"/>
        <w:gridCol w:w="9098"/>
      </w:tblGrid>
      <w:tr>
        <w:trPr/>
        <w:tc>
          <w:tcPr>
            <w:tcW w:w="10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pPr>
            <w:r>
              <w:rPr/>
              <w:t>Re:</w:t>
            </w:r>
          </w:p>
        </w:tc>
        <w:tc>
          <w:tcPr>
            <w:tcW w:w="9098" w:type="dxa"/>
            <w:tcBorders/>
            <w:vAlign w:val="center"/>
          </w:tcPr>
          <w:p>
            <w:pPr>
              <w:pStyle w:val="TableContents"/>
              <w:bidi w:val="0"/>
              <w:spacing w:before="0" w:after="283"/>
              <w:jc w:val="left"/>
              <w:rPr/>
            </w:pPr>
            <w:r>
              <w:rPr/>
              <w:t>Evolution Petroleum Corporation</w:t>
            </w:r>
          </w:p>
        </w:tc>
      </w:tr>
    </w:tbl>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acting as special Nevada counsel to Evolution Petroleum Corporation, a Nevada corporation (the “Company”), in connection with a prospectus supplement (the “Prospectus”) to a registration statement on Form S-3, Registration No. 333-292785 (the “Registration Statement”), filed with the Securities and Exchange Commission (the “Commission”) relating to the offering under the Securities Act of 1933, as amended (the “Securities Act”), of up to $30,000,000 in shares (the “Offered Shares”) of the Company’s common stock, $0.001 par value per share (“Common Stock”), pursuant to the terms of a Sales Agreement, as defined below. Capitalized terms used herein and not otherwise defined shall have the meanings set forth in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rendering this opinion, we have examined originals, or copies certified or otherwise identified to our satisfaction as being true copies, of such records, documents, instruments and certificates as, in our judgment, are necessary or appropriate to enable us to render the opinions set forth below, including, but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Sales Agreement (the “Sales Agreement”) dated as of February 11, 2026 between the Company and Roth Capital Partners, LLC, as Lead Agent (“Lead Agent”), Northland Securities, Inc. (“Northland”), and AG.P./Alliance Global Partners (“AGP”, and together with Lead Agent and Northland, the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Registration Statement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Articles of Incorporation and Amended and Restated Bylaws of the Company, each as amended to date (collectively, the “Governing Documents”);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43050" cy="304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43050" cy="3048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corporate records and proceedings, minutes, consents, actions and resolutions of the board of directors as we have deemed necessary as a basis for the opinions expressed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such legal and factual examinations and inquiries as we have deemed necessary or appropriate for the purposes of this opinion. We have also obtained from officers and agents of the Company and from public officials, and have relied upon, such certificates, representations and assurances as we have deemed necessary and appropriate for the purpose of rendering this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in our examination, we have, with your permission, assumed without independent verification, that (i) all documents submitted to us as originals are authentic, the signatures on all documents that we examined are genuine, and all documents submitted to us as certified, conformed, photostatic, electronic or facsimile copies conform to the original document; and (ii) all corporate records made available to us by the Company and all public records we have reviewed are accurate and complete. We note that the Company has reserved, and assume it will continue to maintain reserved, a sufficient number of shares of its duly authorized, but unissued, shares of the Common Stock as is necessary to provide for the issuance of the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shall be deemed an opinion as to the laws of any jurisdiction other than the State of Nevada. We express no opinion concerning any securities law or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Offered Shares have been duly authorized by the Company for issuance and sale in accordance with the terms of the Sales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issued and delivered by the Company in accordance with the Sales Agreement against payment of the consideration set forth in the Sales Agreement, the Offered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issued in the State of Nevada. By issuing this opinion, Fennemore Craig, P.C. (i) shall not be deemed to be transacting business in any other state or jurisdiction other than the State of Nevada and (ii) does not consent to the jurisdiction of any state other than the State of Nevada. Any claim or cause of action arising out of the opinions expressed herein must be brought in the State of Nevada.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543050" cy="304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3050" cy="3048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your filing this opinion as an exhibit to the Form 8-K and to the reference to our firm contained under the heading “Legal Matters” in the Prospectus. We further consent to the incorporation by reference of this opinion and consent in any prospectus supplement to the Registration Statement filed pursuant to Rule 424(b) under the Securities Act with respect to the Offered Shares. In giving these consents, we do not thereby admit that we are within the category of persons whose consent is required under Section 7 of the Securities Act, the rules and regulations of the Commission promulgated thereunder, or Item 509 of Regulation S-K. This opinion letter is rendered as of the date first written above and we disclaim any obligation to advise you of facts, circumstances, events or developments which hereafter may be brought to our attention and which may alter, affect or modify the opinion expressed herein. Our opinion is expressly limited to the matters set forth above and we render no opinion, whether by implication or otherwise, as to any other matters relating to the Company or the Offered Shares.</w:t>
      </w:r>
    </w:p>
    <w:p>
      <w:pPr>
        <w:pStyle w:val="TextBody"/>
        <w:bidi w:val="0"/>
        <w:spacing w:before="0" w:after="0"/>
        <w:ind w:left="0" w:right="0" w:hanging="0"/>
        <w:jc w:val="left"/>
        <w:rPr>
          <w:caps w:val="false"/>
          <w:smallCaps w:val="false"/>
        </w:rPr>
      </w:pPr>
      <w:r>
        <w:rPr>
          <w:caps w:val="false"/>
          <w:smallCaps w:val="false"/>
        </w:rPr>
        <w:t> </w:t>
      </w:r>
    </w:p>
    <w:tbl>
      <w:tblPr>
        <w:tblW w:w="2165" w:type="dxa"/>
        <w:jc w:val="left"/>
        <w:tblInd w:w="0" w:type="dxa"/>
        <w:tblLayout w:type="fixed"/>
        <w:tblCellMar>
          <w:top w:w="0" w:type="dxa"/>
          <w:left w:w="0" w:type="dxa"/>
          <w:bottom w:w="0" w:type="dxa"/>
          <w:right w:w="0" w:type="dxa"/>
        </w:tblCellMar>
      </w:tblPr>
      <w:tblGrid>
        <w:gridCol w:w="75"/>
        <w:gridCol w:w="2090"/>
      </w:tblGrid>
      <w:tr>
        <w:trPr/>
        <w:tc>
          <w:tcPr>
            <w:tcW w:w="7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Fennemore Craig, P.C.</w:t>
            </w:r>
          </w:p>
        </w:tc>
      </w:tr>
      <w:tr>
        <w:trPr/>
        <w:tc>
          <w:tcPr>
            <w:tcW w:w="7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090" w:type="dxa"/>
            <w:tcBorders/>
            <w:vAlign w:val="center"/>
          </w:tcPr>
          <w:p>
            <w:pPr>
              <w:pStyle w:val="TableContents"/>
              <w:bidi w:val="0"/>
              <w:spacing w:before="0" w:after="283"/>
              <w:jc w:val="left"/>
              <w:rPr>
                <w:rFonts w:ascii="Times New Roman;Times;Serif" w:hAnsi="Times New Roman;Times;Serif"/>
                <w:b w:val="false"/>
                <w:i w:val="false"/>
                <w:smallCaps/>
                <w:sz w:val="20"/>
              </w:rPr>
            </w:pPr>
            <w:r>
              <w:rPr>
                <w:rFonts w:ascii="Times New Roman;Times;Serif" w:hAnsi="Times New Roman;Times;Serif"/>
                <w:b w:val="false"/>
                <w:i w:val="false"/>
                <w:smallCaps/>
                <w:sz w:val="20"/>
              </w:rPr>
              <w:t>Fennemore Craig,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CDOL/CETE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23152</Words>
  <Characters>121944</Characters>
  <CharactersWithSpaces>147076</CharactersWithSpaces>
  <Paragraphs>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