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lineRule="atLeast" w:line="142" w:before="0" w:after="240"/>
        <w:ind w:left="0" w:right="0" w:hanging="0"/>
        <w:jc w:val="center"/>
        <w:rPr/>
      </w:pPr>
      <w:bookmarkStart w:id="0" w:name="epm-20260511x8k.htm"/>
      <w:bookmarkStart w:id="1" w:name="ksepm20260511x8k"/>
      <w:bookmarkEnd w:id="0"/>
      <w:bookmarkEnd w:id="1"/>
      <w:r>
        <w:rPr/>
        <w:t>​</w:t>
      </w:r>
    </w:p>
    <w:p>
      <w:pPr>
        <w:pStyle w:val="TextBody"/>
        <w:bidi w:val="0"/>
        <w:spacing w:before="0" w:after="240"/>
        <w:ind w:left="0" w:right="0" w:hanging="0"/>
        <w:jc w:val="center"/>
        <w:rPr>
          <w:rFonts w:ascii="Times New Roman;Times;serif" w:hAnsi="Times New Roman;Times;serif"/>
          <w:b/>
          <w:sz w:val="20"/>
        </w:rPr>
      </w:pPr>
      <w:bookmarkStart w:id="2" w:name="_7475405f_69a4_4d77_9e21_f78a052edb03"/>
      <w:bookmarkEnd w:id="2"/>
      <w:r>
        <w:rPr>
          <w:rFonts w:ascii="Times New Roman;Times;serif" w:hAnsi="Times New Roman;Times;serif"/>
          <w:b/>
          <w:sz w:val="20"/>
        </w:rPr>
        <w:t>UNITED STATES</w:t>
        <w:br/>
        <w:t>SECURITIES AND EXCHANGE COMMISSION</w:t>
        <w:br/>
        <w:t>Washington, D.C. 20549</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CURRENT REPORT PURSUANT TO SECTION 13 OR 15(D) OF THE</w:t>
        <w:br/>
        <w:t>SECURITIES EXCHANGE ACT OF 1934</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May 11,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001-32942</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(Commission File Number)</w:t>
      </w:r>
    </w:p>
    <w:p>
      <w:pPr>
        <w:pStyle w:val="Normal"/>
        <w:bidi w:val="0"/>
        <w:spacing w:before="0" w:after="0"/>
        <w:jc w:val="left"/>
        <w:rPr>
          <w:sz w:val="4"/>
          <w:szCs w:val="4"/>
        </w:rPr>
      </w:pPr>
      <w:r>
        <w:rPr>
          <w:sz w:val="4"/>
          <w:szCs w:val="4"/>
        </w:rPr>
      </w:r>
      <w:bookmarkStart w:id="3" w:name="Tc_FWbgW6afmE2TMML0mHU6HA_4_1"/>
      <w:bookmarkStart w:id="4" w:name="Tc_8YDM2ind_0m1DVrnES44lA_4_0"/>
      <w:bookmarkStart w:id="5" w:name="Tc_5mNWBFqod0ma3y4Ey5JeLA_3_0"/>
      <w:bookmarkStart w:id="6" w:name="Tc_BeWjH7C-GUaHPbOTTS3XgQ_2_1"/>
      <w:bookmarkStart w:id="7" w:name="Tc_adsWJ8W1r0mtholP2Ymhdw_2_0"/>
      <w:bookmarkStart w:id="8" w:name="_834e7315_f58b_43b1_8445_1c16876b0616"/>
      <w:bookmarkStart w:id="9" w:name="Tc_FWbgW6afmE2TMML0mHU6HA_4_1"/>
      <w:bookmarkStart w:id="10" w:name="Tc_8YDM2ind_0m1DVrnES44lA_4_0"/>
      <w:bookmarkStart w:id="11" w:name="Tc_5mNWBFqod0ma3y4Ey5JeLA_3_0"/>
      <w:bookmarkStart w:id="12" w:name="Tc_BeWjH7C-GUaHPbOTTS3XgQ_2_1"/>
      <w:bookmarkStart w:id="13" w:name="Tc_adsWJ8W1r0mtholP2Ymhdw_2_0"/>
      <w:bookmarkStart w:id="14" w:name="_834e7315_f58b_43b1_8445_1c16876b0616"/>
      <w:bookmarkEnd w:id="9"/>
      <w:bookmarkEnd w:id="10"/>
      <w:bookmarkEnd w:id="11"/>
      <w:bookmarkEnd w:id="12"/>
      <w:bookmarkEnd w:id="13"/>
      <w:bookmarkEnd w:id="14"/>
    </w:p>
    <w:tbl>
      <w:tblPr>
        <w:tblW w:w="7592" w:type="dxa"/>
        <w:jc w:val="left"/>
        <w:tblInd w:w="0" w:type="dxa"/>
        <w:tblLayout w:type="fixed"/>
        <w:tblCellMar>
          <w:top w:w="0" w:type="dxa"/>
          <w:left w:w="0" w:type="dxa"/>
          <w:bottom w:w="0" w:type="dxa"/>
          <w:right w:w="0" w:type="dxa"/>
        </w:tblCellMar>
      </w:tblPr>
      <w:tblGrid>
        <w:gridCol w:w="4561"/>
        <w:gridCol w:w="3031"/>
      </w:tblGrid>
      <w:tr>
        <w:trPr/>
        <w:tc>
          <w:tcPr>
            <w:tcW w:w="4561"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left"/>
              <w:rPr/>
            </w:pPr>
            <w:r>
              <w:rPr/>
              <w:t>​</w:t>
            </w:r>
          </w:p>
        </w:tc>
      </w:tr>
      <w:tr>
        <w:trPr/>
        <w:tc>
          <w:tcPr>
            <w:tcW w:w="45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Nevada</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41-1781991</w:t>
            </w:r>
          </w:p>
        </w:tc>
      </w:tr>
      <w:tr>
        <w:trPr/>
        <w:tc>
          <w:tcPr>
            <w:tcW w:w="4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45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1155 Dairy Ashford Road, Suite 425, Houston, Texas</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77079</w:t>
            </w:r>
          </w:p>
        </w:tc>
      </w:tr>
      <w:tr>
        <w:trPr/>
        <w:tc>
          <w:tcPr>
            <w:tcW w:w="4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(713) 935-0122</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w:t>
      </w:r>
      <w:r>
        <w:rPr>
          <w:rFonts w:ascii="Times New Roman;Times;serif" w:hAnsi="Times New Roman;Times;serif"/>
          <w:i/>
          <w:sz w:val="20"/>
        </w:rPr>
        <w:t xml:space="preserve">see </w:t>
      </w:r>
      <w:r>
        <w:rPr>
          <w:rFonts w:ascii="Times New Roman;Times;serif" w:hAnsi="Times New Roman;Times;serif"/>
          <w:sz w:val="20"/>
        </w:rPr>
        <w:t>General Instruction A.2. below):</w:t>
      </w:r>
    </w:p>
    <w:p>
      <w:pPr>
        <w:pStyle w:val="TextBody"/>
        <w:pBdr/>
        <w:bidi w:val="0"/>
        <w:spacing w:before="0" w:after="120"/>
        <w:ind w:left="0" w:right="0" w:hanging="312"/>
        <w:jc w:val="left"/>
        <w:rPr/>
      </w:pPr>
      <w:r>
        <w:rPr/>
        <w:t>☐    </w:t>
      </w:r>
      <w:r>
        <w:rPr>
          <w:rFonts w:ascii="Times New Roman;Times;serif" w:hAnsi="Times New Roman;Times;serif"/>
          <w:sz w:val="20"/>
        </w:rPr>
        <w:t>Written communications pursuant to Rule 425 under the Securities Act (17 CFR 230.425)</w:t>
      </w:r>
    </w:p>
    <w:p>
      <w:pPr>
        <w:pStyle w:val="TextBody"/>
        <w:pBdr/>
        <w:bidi w:val="0"/>
        <w:spacing w:before="0" w:after="120"/>
        <w:ind w:left="0" w:right="0" w:hanging="312"/>
        <w:jc w:val="left"/>
        <w:rPr/>
      </w:pPr>
      <w:r>
        <w:rPr/>
        <w:t>☐    </w:t>
      </w:r>
      <w:r>
        <w:rPr>
          <w:rFonts w:ascii="Times New Roman;Times;serif" w:hAnsi="Times New Roman;Times;serif"/>
          <w:sz w:val="20"/>
        </w:rPr>
        <w:t>Soliciting material pursuant to Rule 14a-12 under the exchange Act (17 CFR 240.14a-12)</w:t>
      </w:r>
    </w:p>
    <w:p>
      <w:pPr>
        <w:pStyle w:val="TextBody"/>
        <w:pBdr/>
        <w:bidi w:val="0"/>
        <w:spacing w:before="0" w:after="120"/>
        <w:ind w:left="0" w:right="0" w:hanging="312"/>
        <w:jc w:val="left"/>
        <w:rPr/>
      </w:pPr>
      <w:r>
        <w:rPr/>
        <w:t>☐    </w:t>
      </w:r>
      <w:r>
        <w:rPr>
          <w:rFonts w:ascii="Times New Roman;Times;serif" w:hAnsi="Times New Roman;Times;serif"/>
          <w:sz w:val="20"/>
        </w:rPr>
        <w:t>Pre-commencement communications pursuant to Rule 14d-2(b) under the Exchange Act (17 CFR 240.14d-2(b))</w:t>
      </w:r>
    </w:p>
    <w:p>
      <w:pPr>
        <w:pStyle w:val="TextBody"/>
        <w:pBdr/>
        <w:bidi w:val="0"/>
        <w:spacing w:before="0" w:after="240"/>
        <w:ind w:left="0" w:right="0" w:hanging="312"/>
        <w:jc w:val="left"/>
        <w:rPr/>
      </w:pPr>
      <w:r>
        <w:rPr/>
        <w:t>☐    </w:t>
      </w:r>
      <w:r>
        <w:rPr>
          <w:rFonts w:ascii="Times New Roman;Times;serif" w:hAnsi="Times New Roman;Times;serif"/>
          <w:sz w:val="20"/>
        </w:rPr>
        <w:t>Pre-commencement communications pursuant to Rule 13e-4(c) under the Exchange Act (17 CFR 240.13e-4(c))</w:t>
      </w:r>
    </w:p>
    <w:p>
      <w:pPr>
        <w:pStyle w:val="TextBody"/>
        <w:pBdr/>
        <w:bidi w:val="0"/>
        <w:spacing w:before="0" w:after="240"/>
        <w:ind w:left="0" w:right="0" w:hanging="312"/>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5" w:name="Tc_pLNsZxOTukSZt68xtMM_vQ_1_4"/>
      <w:bookmarkStart w:id="16" w:name="Tc_9UhFgjUGV0O7Foluy46CfQ_1_2"/>
      <w:bookmarkStart w:id="17" w:name="Tc_oI4UNcwIVUi5YC8SqOpn-Q_1_0"/>
      <w:bookmarkStart w:id="18" w:name="_fe026e04_ba26_42ea_96f0_cc5b49a2cf88"/>
      <w:bookmarkStart w:id="19" w:name="Tc_pLNsZxOTukSZt68xtMM_vQ_1_4"/>
      <w:bookmarkStart w:id="20" w:name="Tc_9UhFgjUGV0O7Foluy46CfQ_1_2"/>
      <w:bookmarkStart w:id="21" w:name="Tc_oI4UNcwIVUi5YC8SqOpn-Q_1_0"/>
      <w:bookmarkStart w:id="22" w:name="_fe026e04_ba26_42ea_96f0_cc5b49a2cf88"/>
      <w:bookmarkEnd w:id="19"/>
      <w:bookmarkEnd w:id="20"/>
      <w:bookmarkEnd w:id="21"/>
      <w:bookmarkEnd w:id="22"/>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1635760"/>
                      <wp:effectExtent l="0" t="0" r="0" b="0"/>
                      <wp:wrapNone/>
                      <wp:docPr id="1" name="Frame1"/>
                      <a:graphic xmlns:a="http://schemas.openxmlformats.org/drawingml/2006/main">
                        <a:graphicData uri="http://schemas.microsoft.com/office/word/2010/wordprocessingShape">
                          <wps:wsp>
                            <wps:cNvSpPr txBox="1"/>
                            <wps:spPr>
                              <a:xfrm>
                                <a:off x="0" y="0"/>
                                <a:ext cx="78740" cy="16357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28.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350520"/>
                      <wp:effectExtent l="0" t="0" r="0" b="0"/>
                      <wp:wrapNone/>
                      <wp:docPr id="2" name="Frame2"/>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w:t>
                            </w:r>
                          </w:p>
                        </w:txbxContent>
                      </v:textbox>
                      <w10:wrap type="none"/>
                    </v:rect>
                  </w:pict>
                </mc:Fallback>
              </mc:AlternateConten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1752600"/>
                      <wp:effectExtent l="0" t="0" r="0" b="0"/>
                      <wp:wrapNone/>
                      <wp:docPr id="3" name="Frame3"/>
                      <a:graphic xmlns:a="http://schemas.openxmlformats.org/drawingml/2006/main">
                        <a:graphicData uri="http://schemas.microsoft.com/office/word/2010/wordprocessingShape">
                          <wps:wsp>
                            <wps:cNvSpPr txBox="1"/>
                            <wps:spPr>
                              <a:xfrm>
                                <a:off x="0" y="0"/>
                                <a:ext cx="69215" cy="175260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350520"/>
                      <wp:effectExtent l="0" t="0" r="0" b="0"/>
                      <wp:wrapNone/>
                      <wp:docPr id="4" name="Frame4"/>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w:t>
                            </w:r>
                          </w:p>
                        </w:txbxContent>
                      </v:textbox>
                      <w10:wrap type="none"/>
                    </v:rect>
                  </w:pict>
                </mc:Fallback>
              </mc:AlternateConten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7790" cy="3037840"/>
                      <wp:effectExtent l="0" t="0" r="0" b="0"/>
                      <wp:wrapNone/>
                      <wp:docPr id="5" name="Frame5"/>
                      <a:graphic xmlns:a="http://schemas.openxmlformats.org/drawingml/2006/main">
                        <a:graphicData uri="http://schemas.microsoft.com/office/word/2010/wordprocessingShape">
                          <wps:wsp>
                            <wps:cNvSpPr txBox="1"/>
                            <wps:spPr>
                              <a:xfrm>
                                <a:off x="0" y="0"/>
                                <a:ext cx="97790" cy="30378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v:textbox>
                      <w10:wrap type="none"/>
                    </v:rect>
                  </w:pict>
                </mc:Fallback>
              </mc:AlternateContent>
            </w:r>
          </w:p>
        </w:tc>
      </w:tr>
      <w:tr>
        <w:trPr/>
        <w:tc>
          <w:tcPr>
            <w:tcW w:w="124"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8740" cy="2687320"/>
                      <wp:effectExtent l="0" t="0" r="0" b="0"/>
                      <wp:wrapNone/>
                      <wp:docPr id="6" name="Frame6"/>
                      <a:graphic xmlns:a="http://schemas.openxmlformats.org/drawingml/2006/main">
                        <a:graphicData uri="http://schemas.microsoft.com/office/word/2010/wordprocessingShape">
                          <wps:wsp>
                            <wps:cNvSpPr txBox="1"/>
                            <wps:spPr>
                              <a:xfrm>
                                <a:off x="0" y="0"/>
                                <a:ext cx="78740" cy="26873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Common Stock, $0.001 par value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11.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Common Stock, $0.001 par value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9215" cy="175260"/>
                      <wp:effectExtent l="0" t="0" r="0" b="0"/>
                      <wp:wrapNone/>
                      <wp:docPr id="7"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350520"/>
                      <wp:effectExtent l="0" t="0" r="0" b="0"/>
                      <wp:wrapNone/>
                      <wp:docPr id="8" name="Frame8"/>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EPM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EPM</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op w:val="single" w:sz="2"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7790" cy="1051560"/>
                      <wp:effectExtent l="0" t="0" r="0" b="0"/>
                      <wp:wrapNone/>
                      <wp:docPr id="10" name="Frame10"/>
                      <a:graphic xmlns:a="http://schemas.openxmlformats.org/drawingml/2006/main">
                        <a:graphicData uri="http://schemas.microsoft.com/office/word/2010/wordprocessingShape">
                          <wps:wsp>
                            <wps:cNvSpPr txBox="1"/>
                            <wps:spPr>
                              <a:xfrm>
                                <a:off x="0" y="0"/>
                                <a:ext cx="97790" cy="10515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NYSE American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NYSE American</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4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2" w:space="1" w:color="000000"/>
          <w:bottom w:val="single" w:sz="24" w:space="1" w:color="000000"/>
        </w:pBdr>
        <w:bidi w:val="0"/>
        <w:spacing w:lineRule="atLeast" w:line="142"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3" w:name="_37e86a7a_6d43_4c14_a06e_e4fe1d0c519c"/>
      <w:bookmarkEnd w:id="23"/>
      <w:r>
        <w:rPr>
          <w:rFonts w:ascii="Times New Roman;Times;serif" w:hAnsi="Times New Roman;Times;serif"/>
          <w:b/>
          <w:i w:val="false"/>
          <w:caps w:val="false"/>
          <w:smallCaps w:val="false"/>
          <w:sz w:val="20"/>
        </w:rPr>
        <w:t>Item 2.02</w:t>
      </w:r>
      <w:r>
        <w:rPr>
          <w:rFonts w:ascii="Times New Roman;Times;serif" w:hAnsi="Times New Roman;Times;serif"/>
          <w:b/>
          <w:sz w:val="20"/>
        </w:rPr>
        <w:t>Results of Operations and Financial Condition.</w:t>
      </w:r>
    </w:p>
    <w:p>
      <w:pPr>
        <w:pStyle w:val="TextBody"/>
        <w:bidi w:val="0"/>
        <w:spacing w:before="0" w:after="240"/>
        <w:ind w:left="113" w:right="0" w:firstLine="621"/>
        <w:jc w:val="left"/>
        <w:rPr>
          <w:rFonts w:ascii="Times New Roman;Times;serif" w:hAnsi="Times New Roman;Times;serif"/>
          <w:sz w:val="20"/>
        </w:rPr>
      </w:pPr>
      <w:r>
        <w:rPr>
          <w:rFonts w:ascii="Times New Roman;Times;serif" w:hAnsi="Times New Roman;Times;serif"/>
          <w:sz w:val="20"/>
        </w:rPr>
        <w:t>On May 12, 2026, Evolution Petroleum Corporation (the “Company”) issued a press release reporting its financial and operating results for the third quarter ended March 31, 2026. A copy of the press release, dated May 12, 2026, regarding the Company’s financial and operating results, is furnished herewith as Exhibit 99.1 and is incorporated herein by reference.</w:t>
      </w:r>
    </w:p>
    <w:p>
      <w:pPr>
        <w:pStyle w:val="TextBody"/>
        <w:bidi w:val="0"/>
        <w:spacing w:before="0" w:after="240"/>
        <w:ind w:left="113" w:right="0" w:firstLine="621"/>
        <w:jc w:val="left"/>
        <w:rPr>
          <w:rFonts w:ascii="Times New Roman;Times;serif" w:hAnsi="Times New Roman;Times;serif"/>
          <w:sz w:val="20"/>
        </w:rPr>
      </w:pPr>
      <w:r>
        <w:rPr>
          <w:rFonts w:ascii="Times New Roman;Times;serif" w:hAnsi="Times New Roman;Times;serif"/>
          <w:sz w:val="20"/>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pStyle w:val="TextBody"/>
        <w:bidi w:val="0"/>
        <w:spacing w:before="0" w:after="240"/>
        <w:ind w:left="113" w:right="0" w:firstLine="621"/>
        <w:jc w:val="left"/>
        <w:rPr>
          <w:rFonts w:ascii="Times New Roman;Times;serif" w:hAnsi="Times New Roman;Times;serif"/>
          <w:sz w:val="20"/>
        </w:rPr>
      </w:pPr>
      <w:r>
        <w:rPr>
          <w:rFonts w:ascii="Times New Roman;Times;serif" w:hAnsi="Times New Roman;Times;serif"/>
          <w:sz w:val="20"/>
        </w:rPr>
        <w:t>Occasionally our management discloses net income (loss) and net earnings (loss) per common share excluding selected items as well as Adjusted EBITDA. These measures are presented by our management as supplemental financial measures to allow external users of our financial statements, such as investors, commercial banks, and others, to assess our operating performance as compared to that of other companies in our industry, without regard to financing methods, capital structure, or historical costs basis. We use these measures to assess our ability to incur and service debt and fund capital expenditures. These measures are not measures of financial performance performed under GAAP and should not be considered alternatives to net income (loss), operating income (loss), cash flows provided by (used in) operating activities, or any other measure of financial performance or liquidity presented in accordance with GAAP. These measures may not be comparable to similarly titled non-GAAP measures of another company and may not be useful in comparing our performance to the performance of other companies.</w:t>
      </w:r>
    </w:p>
    <w:p>
      <w:pPr>
        <w:pStyle w:val="TextBody"/>
        <w:bidi w:val="0"/>
        <w:spacing w:before="0" w:after="240"/>
        <w:ind w:left="0" w:right="0" w:hanging="0"/>
        <w:jc w:val="left"/>
        <w:rPr>
          <w:rFonts w:ascii="Times New Roman;Times;serif" w:hAnsi="Times New Roman;Times;serif"/>
          <w:b/>
          <w:sz w:val="20"/>
        </w:rPr>
      </w:pPr>
      <w:bookmarkStart w:id="24" w:name="_Hlk118802476"/>
      <w:bookmarkEnd w:id="24"/>
      <w:r>
        <w:rPr>
          <w:rFonts w:ascii="Times New Roman;Times;serif" w:hAnsi="Times New Roman;Times;serif"/>
          <w:b/>
          <w:i w:val="false"/>
          <w:caps w:val="false"/>
          <w:smallCaps w:val="false"/>
          <w:sz w:val="20"/>
        </w:rPr>
        <w:t>Item 8.01</w:t>
      </w:r>
      <w:r>
        <w:rPr>
          <w:rFonts w:ascii="Times New Roman;Times;serif" w:hAnsi="Times New Roman;Times;serif"/>
          <w:b/>
          <w:sz w:val="20"/>
        </w:rPr>
        <w:t>Other Events.</w:t>
      </w:r>
    </w:p>
    <w:p>
      <w:pPr>
        <w:pStyle w:val="TextBody"/>
        <w:bidi w:val="0"/>
        <w:spacing w:before="0" w:after="240"/>
        <w:ind w:left="113" w:right="0" w:firstLine="621"/>
        <w:jc w:val="left"/>
        <w:rPr>
          <w:rFonts w:ascii="Times New Roman;Times;serif" w:hAnsi="Times New Roman;Times;serif"/>
          <w:sz w:val="20"/>
        </w:rPr>
      </w:pPr>
      <w:r>
        <w:rPr>
          <w:rFonts w:ascii="Times New Roman;Times;serif" w:hAnsi="Times New Roman;Times;serif"/>
          <w:sz w:val="20"/>
        </w:rPr>
        <w:t>On May 11, 2026, the Company approved the declaration of a $0.12 per common share dividend for the fourth quarter of 2026 to shareholders of record on June 15, 2026 and payable on 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240"/>
        <w:ind w:left="0" w:right="0" w:hanging="0"/>
        <w:jc w:val="left"/>
        <w:rPr>
          <w:rFonts w:ascii="Times New Roman;Times;serif" w:hAnsi="Times New Roman;Times;serif"/>
          <w:sz w:val="17"/>
        </w:rPr>
      </w:pPr>
      <w:r>
        <w:rPr>
          <w:rFonts w:ascii="Times New Roman;Times;serif" w:hAnsi="Times New Roman;Times;serif"/>
          <w:sz w:val="17"/>
        </w:rPr>
        <w:t>(d)   Exhibits</w:t>
      </w:r>
    </w:p>
    <w:tbl>
      <w:tblPr>
        <w:tblW w:w="6812" w:type="dxa"/>
        <w:jc w:val="left"/>
        <w:tblInd w:w="0" w:type="dxa"/>
        <w:tblLayout w:type="fixed"/>
        <w:tblCellMar>
          <w:top w:w="0" w:type="dxa"/>
          <w:left w:w="0" w:type="dxa"/>
          <w:bottom w:w="0" w:type="dxa"/>
          <w:right w:w="0" w:type="dxa"/>
        </w:tblCellMar>
      </w:tblPr>
      <w:tblGrid>
        <w:gridCol w:w="1066"/>
        <w:gridCol w:w="5746"/>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76910" cy="175260"/>
                      <wp:effectExtent l="0" t="0" r="0" b="0"/>
                      <wp:wrapNone/>
                      <wp:docPr id="11" name="Frame1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648710" cy="175260"/>
                      <wp:effectExtent l="0" t="0" r="0" b="0"/>
                      <wp:wrapNone/>
                      <wp:docPr id="12" name="Frame12"/>
                      <a:graphic xmlns:a="http://schemas.openxmlformats.org/drawingml/2006/main">
                        <a:graphicData uri="http://schemas.microsoft.com/office/word/2010/wordprocessingShape">
                          <wps:wsp>
                            <wps:cNvSpPr txBox="1"/>
                            <wps:spPr>
                              <a:xfrm>
                                <a:off x="0" y="0"/>
                                <a:ext cx="3648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No.</w:t>
            </w:r>
          </w:p>
        </w:tc>
        <w:tc>
          <w:tcPr>
            <w:tcW w:w="57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Description</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5746" w:type="dxa"/>
            <w:tcBorders/>
            <w:vAlign w:val="center"/>
          </w:tcPr>
          <w:p>
            <w:pPr>
              <w:pStyle w:val="TableContents"/>
              <w:bidi w:val="0"/>
              <w:spacing w:before="0" w:after="0"/>
              <w:ind w:left="0" w:right="0" w:hanging="0"/>
              <w:jc w:val="left"/>
              <w:rPr/>
            </w:pPr>
            <w:hyperlink w:anchor="epm-20260511xex99d1.htm">
              <w:r>
                <w:rPr>
                  <w:rStyle w:val="InternetLink"/>
                  <w:rFonts w:ascii="Times New Roman;Times;serif" w:hAnsi="Times New Roman;Times;serif"/>
                  <w:b w:val="false"/>
                  <w:i w:val="false"/>
                  <w:caps w:val="false"/>
                  <w:smallCaps w:val="false"/>
                  <w:sz w:val="20"/>
                </w:rPr>
                <w:t>Evolution Petroleum Corporation Press Release dated May 12, 2026</w:t>
              </w:r>
            </w:hyperlink>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5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240"/>
        <w:ind w:left="113" w:right="0" w:firstLine="621"/>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Normal"/>
        <w:bidi w:val="0"/>
        <w:spacing w:before="0" w:after="0"/>
        <w:jc w:val="left"/>
        <w:rPr>
          <w:sz w:val="4"/>
          <w:szCs w:val="4"/>
        </w:rPr>
      </w:pPr>
      <w:r>
        <w:rPr>
          <w:sz w:val="4"/>
          <w:szCs w:val="4"/>
        </w:rPr>
      </w:r>
      <w:bookmarkStart w:id="25" w:name="_Hlk79440931"/>
      <w:bookmarkStart w:id="26" w:name="_Hlk79440931"/>
      <w:bookmarkEnd w:id="26"/>
    </w:p>
    <w:tbl>
      <w:tblPr>
        <w:tblW w:w="6512" w:type="dxa"/>
        <w:jc w:val="left"/>
        <w:tblInd w:w="0" w:type="dxa"/>
        <w:tblLayout w:type="fixed"/>
        <w:tblCellMar>
          <w:top w:w="0" w:type="dxa"/>
          <w:left w:w="0" w:type="dxa"/>
          <w:bottom w:w="0" w:type="dxa"/>
          <w:right w:w="0" w:type="dxa"/>
        </w:tblCellMar>
      </w:tblPr>
      <w:tblGrid>
        <w:gridCol w:w="1741"/>
        <w:gridCol w:w="591"/>
        <w:gridCol w:w="39"/>
        <w:gridCol w:w="414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591" w:type="dxa"/>
            <w:tcBorders/>
            <w:vAlign w:val="center"/>
          </w:tcPr>
          <w:p>
            <w:pPr>
              <w:pStyle w:val="TableContents"/>
              <w:bidi w:val="0"/>
              <w:spacing w:before="0" w:after="283"/>
              <w:ind w:left="0" w:right="0" w:hanging="0"/>
              <w:jc w:val="left"/>
              <w:rPr>
                <w:sz w:val="4"/>
                <w:szCs w:val="4"/>
              </w:rPr>
            </w:pPr>
            <w:r>
              <w:rPr>
                <w:sz w:val="4"/>
                <w:szCs w:val="4"/>
              </w:rPr>
            </w:r>
          </w:p>
        </w:tc>
        <w:tc>
          <w:tcPr>
            <w:tcW w:w="4180"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w:t>
            </w:r>
          </w:p>
        </w:tc>
        <w:tc>
          <w:tcPr>
            <w:tcW w:w="4771"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Evolution Petroleum Corporation (Registrant)</w:t>
            </w:r>
          </w:p>
        </w:tc>
      </w:tr>
      <w:tr>
        <w:trPr/>
        <w:tc>
          <w:tcPr>
            <w:tcW w:w="1741" w:type="dxa"/>
            <w:tcBorders/>
            <w:vAlign w:val="center"/>
          </w:tcPr>
          <w:p>
            <w:pPr>
              <w:pStyle w:val="TableContents"/>
              <w:bidi w:val="0"/>
              <w:spacing w:before="0" w:after="0"/>
              <w:ind w:left="0" w:right="0" w:hanging="0"/>
              <w:jc w:val="left"/>
              <w:rPr/>
            </w:pPr>
            <w:r>
              <w:rPr/>
              <w:t>​</w:t>
            </w:r>
          </w:p>
        </w:tc>
        <w:tc>
          <w:tcPr>
            <w:tcW w:w="4771" w:type="dxa"/>
            <w:gridSpan w:val="3"/>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771"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12, 2026</w:t>
            </w:r>
          </w:p>
        </w:tc>
        <w:tc>
          <w:tcPr>
            <w:tcW w:w="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8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RYAN STASH</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6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Stash</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6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285" w:before="0" w:after="0"/>
        <w:ind w:left="0" w:right="0" w:hanging="0"/>
        <w:jc w:val="right"/>
        <w:rPr>
          <w:rFonts w:ascii="Segoe UI" w:hAnsi="Segoe UI"/>
          <w:b/>
          <w:sz w:val="22"/>
        </w:rPr>
      </w:pPr>
      <w:bookmarkStart w:id="27" w:name="epm-20260511xex99d1.htm"/>
      <w:bookmarkStart w:id="28" w:name="ksepm20260511xex99d1"/>
      <w:bookmarkEnd w:id="27"/>
      <w:bookmarkEnd w:id="28"/>
      <w:r>
        <w:rPr>
          <w:rFonts w:ascii="Segoe UI" w:hAnsi="Segoe UI"/>
          <w:b/>
          <w:sz w:val="22"/>
        </w:rPr>
        <w:t>EXHIBIT 99.1</w:t>
      </w:r>
      <w:r>
        <w:br w:type="page"/>
      </w:r>
    </w:p>
    <w:p>
      <w:pPr>
        <w:pStyle w:val="TextBody"/>
        <w:bidi w:val="0"/>
        <w:spacing w:lineRule="auto" w:line="285" w:before="0" w:after="100"/>
        <w:ind w:left="0" w:right="0" w:hanging="0"/>
        <w:jc w:val="center"/>
        <w:rPr/>
      </w:pPr>
      <w:r>
        <w:rPr/>
        <w:drawing>
          <wp:inline distT="0" distB="0" distL="0" distR="0">
            <wp:extent cx="1755775" cy="466090"/>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tretch>
                      <a:fillRect/>
                    </a:stretch>
                  </pic:blipFill>
                  <pic:spPr bwMode="auto">
                    <a:xfrm>
                      <a:off x="0" y="0"/>
                      <a:ext cx="1755775" cy="466090"/>
                    </a:xfrm>
                    <a:prstGeom prst="rect">
                      <a:avLst/>
                    </a:prstGeom>
                  </pic:spPr>
                </pic:pic>
              </a:graphicData>
            </a:graphic>
          </wp:inline>
        </w:drawing>
      </w:r>
    </w:p>
    <w:p>
      <w:pPr>
        <w:pStyle w:val="TextBody"/>
        <w:bidi w:val="0"/>
        <w:spacing w:lineRule="auto" w:line="285" w:before="0" w:after="240"/>
        <w:ind w:left="0" w:right="0" w:hanging="0"/>
        <w:jc w:val="center"/>
        <w:rPr>
          <w:rFonts w:ascii="Segoe UI" w:hAnsi="Segoe UI"/>
          <w:b/>
          <w:sz w:val="28"/>
        </w:rPr>
      </w:pPr>
      <w:bookmarkStart w:id="29" w:name="_Hlk176770607"/>
      <w:bookmarkEnd w:id="29"/>
      <w:r>
        <w:rPr>
          <w:rFonts w:ascii="Segoe UI" w:hAnsi="Segoe UI"/>
          <w:b/>
          <w:sz w:val="28"/>
        </w:rPr>
        <w:t>Evolution Petroleum Reports Fiscal Third Quarter 2026 Results and Declares $0.12 per Share Cash Dividend for the Fiscal Fourth Quarter</w:t>
      </w:r>
    </w:p>
    <w:p>
      <w:pPr>
        <w:pStyle w:val="TextBody"/>
        <w:bidi w:val="0"/>
        <w:spacing w:lineRule="auto" w:line="321" w:before="0" w:after="0"/>
        <w:ind w:left="0" w:right="0" w:hanging="0"/>
        <w:jc w:val="left"/>
        <w:rPr>
          <w:rFonts w:ascii="Segoe UI" w:hAnsi="Segoe UI"/>
          <w:sz w:val="22"/>
        </w:rPr>
      </w:pPr>
      <w:r>
        <w:rPr>
          <w:rFonts w:ascii="Segoe UI" w:hAnsi="Segoe UI"/>
          <w:b/>
          <w:sz w:val="22"/>
        </w:rPr>
        <w:t>HOUSTON, TX — May 12, 2026 (GLOBE NEWSWIRE) —</w:t>
      </w:r>
      <w:r>
        <w:rPr>
          <w:rFonts w:ascii="Segoe UI" w:hAnsi="Segoe UI"/>
          <w:sz w:val="22"/>
        </w:rPr>
        <w:t xml:space="preserve"> Evolution Petroleum Corporation (NYSE American: EPM) ("Evolution" or the "Company") today announced its financial and operating results for its fiscal third quarter ended March 31, 2026. Evolution also declared its 16</w:t>
      </w:r>
      <w:r>
        <w:rPr>
          <w:rFonts w:ascii="Segoe UI" w:hAnsi="Segoe UI"/>
          <w:sz w:val="17"/>
        </w:rPr>
        <w:t>th</w:t>
      </w:r>
      <w:r>
        <w:rPr>
          <w:rFonts w:ascii="Segoe UI" w:hAnsi="Segoe UI"/>
          <w:sz w:val="22"/>
        </w:rPr>
        <w:t xml:space="preserve"> consecutive $0.12 cash dividend per common share, payable on June 30, 2026, marking its 51</w:t>
      </w:r>
      <w:r>
        <w:rPr>
          <w:rFonts w:ascii="Segoe UI" w:hAnsi="Segoe UI"/>
          <w:sz w:val="17"/>
        </w:rPr>
        <w:t>st</w:t>
      </w:r>
      <w:r>
        <w:rPr>
          <w:rFonts w:ascii="Segoe UI" w:hAnsi="Segoe UI"/>
          <w:sz w:val="22"/>
        </w:rPr>
        <w:t xml:space="preserve"> consecutive quarterly cash dividend payment.</w:t>
      </w:r>
    </w:p>
    <w:p>
      <w:pPr>
        <w:pStyle w:val="TextBody"/>
        <w:bidi w:val="0"/>
        <w:spacing w:lineRule="auto" w:line="307" w:before="200" w:after="60"/>
        <w:ind w:left="0" w:right="0" w:hanging="0"/>
        <w:jc w:val="left"/>
        <w:rPr>
          <w:rFonts w:ascii="Segoe UI Semibold" w:hAnsi="Segoe UI Semibold"/>
          <w:b/>
          <w:sz w:val="22"/>
        </w:rPr>
      </w:pPr>
      <w:r>
        <w:rPr>
          <w:rFonts w:ascii="Segoe UI Semibold" w:hAnsi="Segoe UI Semibold"/>
          <w:b/>
          <w:sz w:val="22"/>
        </w:rPr>
        <w:t>Financial &amp; Operational Highlights</w:t>
      </w:r>
    </w:p>
    <w:tbl>
      <w:tblPr>
        <w:tblW w:w="10205" w:type="dxa"/>
        <w:jc w:val="left"/>
        <w:tblInd w:w="0" w:type="dxa"/>
        <w:tblLayout w:type="fixed"/>
        <w:tblCellMar>
          <w:top w:w="0" w:type="dxa"/>
          <w:left w:w="0" w:type="dxa"/>
          <w:bottom w:w="0" w:type="dxa"/>
          <w:right w:w="0" w:type="dxa"/>
        </w:tblCellMar>
      </w:tblPr>
      <w:tblGrid>
        <w:gridCol w:w="1281"/>
        <w:gridCol w:w="109"/>
        <w:gridCol w:w="211"/>
        <w:gridCol w:w="678"/>
        <w:gridCol w:w="109"/>
        <w:gridCol w:w="211"/>
        <w:gridCol w:w="678"/>
        <w:gridCol w:w="109"/>
        <w:gridCol w:w="211"/>
        <w:gridCol w:w="677"/>
        <w:gridCol w:w="109"/>
        <w:gridCol w:w="725"/>
        <w:gridCol w:w="442"/>
        <w:gridCol w:w="109"/>
        <w:gridCol w:w="694"/>
        <w:gridCol w:w="473"/>
        <w:gridCol w:w="109"/>
        <w:gridCol w:w="215"/>
        <w:gridCol w:w="693"/>
        <w:gridCol w:w="109"/>
        <w:gridCol w:w="215"/>
        <w:gridCol w:w="693"/>
        <w:gridCol w:w="109"/>
        <w:gridCol w:w="715"/>
        <w:gridCol w:w="521"/>
      </w:tblGrid>
      <w:tr>
        <w:trPr/>
        <w:tc>
          <w:tcPr>
            <w:tcW w:w="1281" w:type="dxa"/>
            <w:tcBorders/>
            <w:vAlign w:val="center"/>
          </w:tcPr>
          <w:p>
            <w:pPr>
              <w:pStyle w:val="TableContents"/>
              <w:bidi w:val="0"/>
              <w:spacing w:lineRule="auto" w:line="321" w:before="0" w:after="1"/>
              <w:ind w:left="0" w:right="0" w:hanging="0"/>
              <w:jc w:val="left"/>
              <w:rPr/>
            </w:pPr>
            <w:bookmarkStart w:id="30" w:name="_Hlk112945857"/>
            <w:bookmarkEnd w:id="30"/>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8"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8"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7"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725" w:type="dxa"/>
            <w:tcBorders/>
            <w:vAlign w:val="center"/>
          </w:tcPr>
          <w:p>
            <w:pPr>
              <w:pStyle w:val="TableContents"/>
              <w:bidi w:val="0"/>
              <w:spacing w:lineRule="auto" w:line="321" w:before="0" w:after="1"/>
              <w:ind w:left="0" w:right="0" w:hanging="0"/>
              <w:jc w:val="left"/>
              <w:rPr/>
            </w:pPr>
            <w:r>
              <w:rPr/>
              <w:t>​</w:t>
            </w:r>
          </w:p>
        </w:tc>
        <w:tc>
          <w:tcPr>
            <w:tcW w:w="442"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694" w:type="dxa"/>
            <w:tcBorders/>
            <w:vAlign w:val="center"/>
          </w:tcPr>
          <w:p>
            <w:pPr>
              <w:pStyle w:val="TableContents"/>
              <w:bidi w:val="0"/>
              <w:spacing w:lineRule="auto" w:line="321" w:before="0" w:after="1"/>
              <w:ind w:left="0" w:right="0" w:hanging="0"/>
              <w:jc w:val="left"/>
              <w:rPr/>
            </w:pPr>
            <w:r>
              <w:rPr/>
              <w:t>​</w:t>
            </w:r>
          </w:p>
        </w:tc>
        <w:tc>
          <w:tcPr>
            <w:tcW w:w="473"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693"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693"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715" w:type="dxa"/>
            <w:tcBorders/>
            <w:vAlign w:val="center"/>
          </w:tcPr>
          <w:p>
            <w:pPr>
              <w:pStyle w:val="TableContents"/>
              <w:bidi w:val="0"/>
              <w:spacing w:lineRule="auto" w:line="321" w:before="0" w:after="1"/>
              <w:ind w:left="0" w:right="0" w:hanging="0"/>
              <w:jc w:val="left"/>
              <w:rPr/>
            </w:pPr>
            <w:r>
              <w:rPr/>
              <w:t>​</w:t>
            </w:r>
          </w:p>
        </w:tc>
        <w:tc>
          <w:tcPr>
            <w:tcW w:w="521" w:type="dxa"/>
            <w:tcBorders/>
            <w:vAlign w:val="center"/>
          </w:tcPr>
          <w:p>
            <w:pPr>
              <w:pStyle w:val="TableContents"/>
              <w:bidi w:val="0"/>
              <w:spacing w:lineRule="auto" w:line="321" w:before="0" w:after="1"/>
              <w:ind w:left="0" w:right="0" w:hanging="0"/>
              <w:jc w:val="left"/>
              <w:rPr/>
            </w:pPr>
            <w:r>
              <w:rPr/>
              <w:t>​</w:t>
            </w:r>
          </w:p>
        </w:tc>
      </w:tr>
      <w:tr>
        <w:trPr/>
        <w:tc>
          <w:tcPr>
            <w:tcW w:w="1281" w:type="dxa"/>
            <w:tcBorders/>
            <w:vAlign w:val="center"/>
          </w:tcPr>
          <w:p>
            <w:pPr>
              <w:pStyle w:val="TableContents"/>
              <w:bidi w:val="0"/>
              <w:spacing w:lineRule="auto" w:line="321" w:before="0" w:after="1"/>
              <w:ind w:left="0" w:right="0" w:hanging="0"/>
              <w:jc w:val="left"/>
              <w:rPr>
                <w:rFonts w:ascii="Segoe UI" w:hAnsi="Segoe UI"/>
                <w:i/>
                <w:sz w:val="16"/>
              </w:rPr>
            </w:pPr>
            <w:r>
              <w:rPr>
                <w:rFonts w:ascii="Segoe UI" w:hAnsi="Segoe UI"/>
                <w:i/>
                <w:sz w:val="16"/>
              </w:rPr>
              <w:t>($ in thousands)</w:t>
            </w:r>
          </w:p>
        </w:tc>
        <w:tc>
          <w:tcPr>
            <w:tcW w:w="109" w:type="dxa"/>
            <w:tcBorders/>
            <w:vAlign w:val="center"/>
          </w:tcPr>
          <w:p>
            <w:pPr>
              <w:pStyle w:val="TableContents"/>
              <w:bidi w:val="0"/>
              <w:spacing w:lineRule="auto" w:line="321" w:before="0" w:after="1"/>
              <w:ind w:left="0" w:right="0" w:hanging="0"/>
              <w:jc w:val="left"/>
              <w:rPr/>
            </w:pPr>
            <w:r>
              <w:rPr/>
              <w:t>​</w:t>
            </w:r>
          </w:p>
        </w:tc>
        <w:tc>
          <w:tcPr>
            <w:tcW w:w="889"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Q3 2026</w:t>
            </w:r>
          </w:p>
        </w:tc>
        <w:tc>
          <w:tcPr>
            <w:tcW w:w="109" w:type="dxa"/>
            <w:tcBorders/>
            <w:vAlign w:val="center"/>
          </w:tcPr>
          <w:p>
            <w:pPr>
              <w:pStyle w:val="TableContents"/>
              <w:bidi w:val="0"/>
              <w:spacing w:lineRule="auto" w:line="321" w:before="0" w:after="1"/>
              <w:ind w:left="0" w:right="0" w:hanging="0"/>
              <w:jc w:val="left"/>
              <w:rPr/>
            </w:pPr>
            <w:r>
              <w:rPr/>
              <w:t>​</w:t>
            </w:r>
          </w:p>
        </w:tc>
        <w:tc>
          <w:tcPr>
            <w:tcW w:w="889"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Q3 2025</w:t>
            </w:r>
          </w:p>
        </w:tc>
        <w:tc>
          <w:tcPr>
            <w:tcW w:w="109" w:type="dxa"/>
            <w:tcBorders/>
            <w:vAlign w:val="center"/>
          </w:tcPr>
          <w:p>
            <w:pPr>
              <w:pStyle w:val="TableContents"/>
              <w:bidi w:val="0"/>
              <w:spacing w:lineRule="auto" w:line="321" w:before="0" w:after="1"/>
              <w:ind w:left="0" w:right="0" w:hanging="0"/>
              <w:jc w:val="center"/>
              <w:rPr/>
            </w:pPr>
            <w:r>
              <w:rPr/>
              <w:t>​</w:t>
            </w:r>
          </w:p>
        </w:tc>
        <w:tc>
          <w:tcPr>
            <w:tcW w:w="888"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Q2 2026</w:t>
            </w:r>
          </w:p>
        </w:tc>
        <w:tc>
          <w:tcPr>
            <w:tcW w:w="109" w:type="dxa"/>
            <w:tcBorders/>
            <w:vAlign w:val="center"/>
          </w:tcPr>
          <w:p>
            <w:pPr>
              <w:pStyle w:val="TableContents"/>
              <w:bidi w:val="0"/>
              <w:spacing w:lineRule="auto" w:line="321" w:before="0" w:after="1"/>
              <w:ind w:left="0" w:right="0" w:hanging="0"/>
              <w:jc w:val="center"/>
              <w:rPr/>
            </w:pPr>
            <w:r>
              <w:rPr/>
              <w:t>​</w:t>
            </w:r>
          </w:p>
        </w:tc>
        <w:tc>
          <w:tcPr>
            <w:tcW w:w="116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 Change vs Q3/Q3</w:t>
            </w:r>
          </w:p>
        </w:tc>
        <w:tc>
          <w:tcPr>
            <w:tcW w:w="109" w:type="dxa"/>
            <w:tcBorders/>
            <w:vAlign w:val="center"/>
          </w:tcPr>
          <w:p>
            <w:pPr>
              <w:pStyle w:val="TableContents"/>
              <w:bidi w:val="0"/>
              <w:spacing w:lineRule="auto" w:line="321" w:before="0" w:after="1"/>
              <w:ind w:left="0" w:right="0" w:hanging="0"/>
              <w:jc w:val="center"/>
              <w:rPr/>
            </w:pPr>
            <w:r>
              <w:rPr/>
              <w:t>​</w:t>
            </w:r>
          </w:p>
        </w:tc>
        <w:tc>
          <w:tcPr>
            <w:tcW w:w="116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 Change vs Q3/Q2</w:t>
            </w:r>
          </w:p>
        </w:tc>
        <w:tc>
          <w:tcPr>
            <w:tcW w:w="109" w:type="dxa"/>
            <w:tcBorders/>
            <w:vAlign w:val="center"/>
          </w:tcPr>
          <w:p>
            <w:pPr>
              <w:pStyle w:val="TableContents"/>
              <w:bidi w:val="0"/>
              <w:spacing w:lineRule="auto" w:line="321" w:before="0" w:after="1"/>
              <w:ind w:left="0" w:right="0" w:hanging="0"/>
              <w:jc w:val="center"/>
              <w:rPr/>
            </w:pPr>
            <w:r>
              <w:rPr/>
              <w:t>​</w:t>
            </w:r>
          </w:p>
        </w:tc>
        <w:tc>
          <w:tcPr>
            <w:tcW w:w="908"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 YTD</w:t>
            </w:r>
          </w:p>
        </w:tc>
        <w:tc>
          <w:tcPr>
            <w:tcW w:w="109" w:type="dxa"/>
            <w:tcBorders/>
            <w:vAlign w:val="center"/>
          </w:tcPr>
          <w:p>
            <w:pPr>
              <w:pStyle w:val="TableContents"/>
              <w:bidi w:val="0"/>
              <w:spacing w:lineRule="auto" w:line="321" w:before="0" w:after="1"/>
              <w:ind w:left="0" w:right="0" w:hanging="0"/>
              <w:jc w:val="center"/>
              <w:rPr/>
            </w:pPr>
            <w:r>
              <w:rPr/>
              <w:t>​</w:t>
            </w:r>
          </w:p>
        </w:tc>
        <w:tc>
          <w:tcPr>
            <w:tcW w:w="908"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 YTD</w:t>
            </w:r>
          </w:p>
        </w:tc>
        <w:tc>
          <w:tcPr>
            <w:tcW w:w="109" w:type="dxa"/>
            <w:tcBorders/>
            <w:vAlign w:val="center"/>
          </w:tcPr>
          <w:p>
            <w:pPr>
              <w:pStyle w:val="TableContents"/>
              <w:bidi w:val="0"/>
              <w:spacing w:lineRule="auto" w:line="321" w:before="0" w:after="1"/>
              <w:ind w:left="0" w:right="0" w:hanging="0"/>
              <w:jc w:val="center"/>
              <w:rPr/>
            </w:pPr>
            <w:r>
              <w:rPr/>
              <w:t>​</w:t>
            </w:r>
          </w:p>
        </w:tc>
        <w:tc>
          <w:tcPr>
            <w:tcW w:w="1236"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 Change vs YTD'25</w:t>
            </w:r>
          </w:p>
        </w:tc>
      </w:tr>
      <w:tr>
        <w:trPr/>
        <w:tc>
          <w:tcPr>
            <w:tcW w:w="128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Average BOEPD</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6,700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6,667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7,380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725" w:type="dxa"/>
            <w:tcBorders/>
            <w:shd w:fill="CCEEFF" w:val="clear"/>
            <w:vAlign w:val="center"/>
          </w:tcPr>
          <w:p>
            <w:pPr>
              <w:pStyle w:val="TableContents"/>
              <w:bidi w:val="0"/>
              <w:spacing w:lineRule="auto" w:line="321" w:before="0" w:after="1"/>
              <w:ind w:left="0" w:right="0" w:hanging="0"/>
              <w:jc w:val="right"/>
              <w:rPr/>
            </w:pPr>
            <w:r>
              <w:rPr/>
              <w:t>—</w:t>
            </w:r>
          </w:p>
        </w:tc>
        <w:tc>
          <w:tcPr>
            <w:tcW w:w="442"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694"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w:t>
            </w:r>
          </w:p>
        </w:tc>
        <w:tc>
          <w:tcPr>
            <w:tcW w:w="473"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69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7,135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69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7,033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715"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w:t>
            </w:r>
          </w:p>
        </w:tc>
        <w:tc>
          <w:tcPr>
            <w:tcW w:w="52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r>
      <w:tr>
        <w:trPr/>
        <w:tc>
          <w:tcPr>
            <w:tcW w:w="128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Revenues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20,168</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22,561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20,679</w:t>
            </w:r>
          </w:p>
        </w:tc>
        <w:tc>
          <w:tcPr>
            <w:tcW w:w="109" w:type="dxa"/>
            <w:tcBorders/>
            <w:vAlign w:val="center"/>
          </w:tcPr>
          <w:p>
            <w:pPr>
              <w:pStyle w:val="TableContents"/>
              <w:bidi w:val="0"/>
              <w:spacing w:lineRule="auto" w:line="321" w:before="0" w:after="1"/>
              <w:ind w:left="0" w:right="0" w:hanging="0"/>
              <w:jc w:val="left"/>
              <w:rPr/>
            </w:pPr>
            <w:r>
              <w:rPr/>
              <w:t>​</w:t>
            </w:r>
          </w:p>
        </w:tc>
        <w:tc>
          <w:tcPr>
            <w:tcW w:w="72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w:t>
            </w:r>
          </w:p>
        </w:tc>
        <w:tc>
          <w:tcPr>
            <w:tcW w:w="44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9" w:type="dxa"/>
            <w:tcBorders/>
            <w:vAlign w:val="center"/>
          </w:tcPr>
          <w:p>
            <w:pPr>
              <w:pStyle w:val="TableContents"/>
              <w:bidi w:val="0"/>
              <w:spacing w:lineRule="auto" w:line="321" w:before="0" w:after="1"/>
              <w:ind w:left="0" w:right="0" w:hanging="0"/>
              <w:jc w:val="left"/>
              <w:rPr/>
            </w:pPr>
            <w:r>
              <w:rPr/>
              <w:t>​</w:t>
            </w:r>
          </w:p>
        </w:tc>
        <w:tc>
          <w:tcPr>
            <w:tcW w:w="694"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w:t>
            </w:r>
          </w:p>
        </w:tc>
        <w:tc>
          <w:tcPr>
            <w:tcW w:w="473"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62,135</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64,732</w:t>
            </w:r>
          </w:p>
        </w:tc>
        <w:tc>
          <w:tcPr>
            <w:tcW w:w="109" w:type="dxa"/>
            <w:tcBorders/>
            <w:vAlign w:val="center"/>
          </w:tcPr>
          <w:p>
            <w:pPr>
              <w:pStyle w:val="TableContents"/>
              <w:bidi w:val="0"/>
              <w:spacing w:lineRule="auto" w:line="321" w:before="0" w:after="1"/>
              <w:ind w:left="0" w:right="0" w:hanging="0"/>
              <w:jc w:val="left"/>
              <w:rPr/>
            </w:pPr>
            <w:r>
              <w:rPr/>
              <w:t>​</w:t>
            </w:r>
          </w:p>
        </w:tc>
        <w:tc>
          <w:tcPr>
            <w:tcW w:w="71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w:t>
            </w:r>
          </w:p>
        </w:tc>
        <w:tc>
          <w:tcPr>
            <w:tcW w:w="52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r>
      <w:tr>
        <w:trPr/>
        <w:tc>
          <w:tcPr>
            <w:tcW w:w="1281" w:type="dxa"/>
            <w:tcBorders/>
            <w:shd w:fill="CCEEFF" w:val="clear"/>
            <w:vAlign w:val="center"/>
          </w:tcPr>
          <w:p>
            <w:pPr>
              <w:pStyle w:val="TableContents"/>
              <w:bidi w:val="0"/>
              <w:spacing w:before="0" w:after="1"/>
              <w:ind w:left="0" w:right="0" w:hanging="0"/>
              <w:jc w:val="left"/>
              <w:rPr>
                <w:rFonts w:ascii="Segoe UI" w:hAnsi="Segoe UI"/>
                <w:sz w:val="16"/>
              </w:rPr>
            </w:pPr>
            <w:r>
              <w:rPr>
                <w:rFonts w:ascii="Segoe UI" w:hAnsi="Segoe UI"/>
                <w:sz w:val="16"/>
              </w:rPr>
              <w:t xml:space="preserve">Net Income (Loss) </w:t>
            </w:r>
            <w:r>
              <w:rPr>
                <w:rFonts w:ascii="Segoe UI" w:hAnsi="Segoe UI"/>
                <w:sz w:val="12"/>
              </w:rPr>
              <w:t>(1)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(8,932)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(2,179)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1,065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725"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310</w:t>
            </w:r>
          </w:p>
        </w:tc>
        <w:tc>
          <w:tcPr>
            <w:tcW w:w="442"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694"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NM</w:t>
            </w:r>
          </w:p>
        </w:tc>
        <w:tc>
          <w:tcPr>
            <w:tcW w:w="473"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(7,043)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(1,939)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715"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263</w:t>
            </w:r>
          </w:p>
        </w:tc>
        <w:tc>
          <w:tcPr>
            <w:tcW w:w="52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r>
      <w:tr>
        <w:trPr/>
        <w:tc>
          <w:tcPr>
            <w:tcW w:w="1281" w:type="dxa"/>
            <w:tcBorders/>
            <w:vAlign w:val="center"/>
          </w:tcPr>
          <w:p>
            <w:pPr>
              <w:pStyle w:val="TableContents"/>
              <w:bidi w:val="0"/>
              <w:spacing w:before="0" w:after="1"/>
              <w:ind w:left="0" w:right="0" w:hanging="0"/>
              <w:jc w:val="left"/>
              <w:rPr>
                <w:rFonts w:ascii="Segoe UI" w:hAnsi="Segoe UI"/>
                <w:sz w:val="16"/>
              </w:rPr>
            </w:pPr>
            <w:r>
              <w:rPr>
                <w:rFonts w:ascii="Segoe UI" w:hAnsi="Segoe UI"/>
                <w:sz w:val="16"/>
              </w:rPr>
              <w:t xml:space="preserve">Adjusted Net Income (Loss) </w:t>
            </w:r>
            <w:r>
              <w:rPr>
                <w:rFonts w:ascii="Segoe UI" w:hAnsi="Segoe UI"/>
                <w:sz w:val="12"/>
              </w:rPr>
              <w:t>(1)(2)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(2,941)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806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257</w:t>
            </w:r>
          </w:p>
        </w:tc>
        <w:tc>
          <w:tcPr>
            <w:tcW w:w="109" w:type="dxa"/>
            <w:tcBorders/>
            <w:vAlign w:val="center"/>
          </w:tcPr>
          <w:p>
            <w:pPr>
              <w:pStyle w:val="TableContents"/>
              <w:bidi w:val="0"/>
              <w:spacing w:lineRule="auto" w:line="321" w:before="0" w:after="1"/>
              <w:ind w:left="0" w:right="0" w:hanging="0"/>
              <w:jc w:val="left"/>
              <w:rPr/>
            </w:pPr>
            <w:r>
              <w:rPr/>
              <w:t>​</w:t>
            </w:r>
          </w:p>
        </w:tc>
        <w:tc>
          <w:tcPr>
            <w:tcW w:w="72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NM</w:t>
            </w:r>
          </w:p>
        </w:tc>
        <w:tc>
          <w:tcPr>
            <w:tcW w:w="442"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694"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NM</w:t>
            </w:r>
          </w:p>
        </w:tc>
        <w:tc>
          <w:tcPr>
            <w:tcW w:w="473"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(2,892)</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701</w:t>
            </w:r>
          </w:p>
        </w:tc>
        <w:tc>
          <w:tcPr>
            <w:tcW w:w="109" w:type="dxa"/>
            <w:tcBorders/>
            <w:vAlign w:val="center"/>
          </w:tcPr>
          <w:p>
            <w:pPr>
              <w:pStyle w:val="TableContents"/>
              <w:bidi w:val="0"/>
              <w:spacing w:lineRule="auto" w:line="321" w:before="0" w:after="1"/>
              <w:ind w:left="0" w:right="0" w:hanging="0"/>
              <w:jc w:val="left"/>
              <w:rPr/>
            </w:pPr>
            <w:r>
              <w:rPr/>
              <w:t>​</w:t>
            </w:r>
          </w:p>
        </w:tc>
        <w:tc>
          <w:tcPr>
            <w:tcW w:w="71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NM</w:t>
            </w:r>
          </w:p>
        </w:tc>
        <w:tc>
          <w:tcPr>
            <w:tcW w:w="521" w:type="dxa"/>
            <w:tcBorders/>
            <w:vAlign w:val="center"/>
          </w:tcPr>
          <w:p>
            <w:pPr>
              <w:pStyle w:val="TableContents"/>
              <w:bidi w:val="0"/>
              <w:spacing w:lineRule="auto" w:line="321" w:before="0" w:after="1"/>
              <w:ind w:left="0" w:right="0" w:hanging="0"/>
              <w:jc w:val="left"/>
              <w:rPr/>
            </w:pPr>
            <w:r>
              <w:rPr/>
              <w:t>​</w:t>
            </w:r>
          </w:p>
        </w:tc>
      </w:tr>
      <w:tr>
        <w:trPr/>
        <w:tc>
          <w:tcPr>
            <w:tcW w:w="1281" w:type="dxa"/>
            <w:tcBorders/>
            <w:shd w:fill="CCEEFF" w:val="clear"/>
            <w:vAlign w:val="center"/>
          </w:tcPr>
          <w:p>
            <w:pPr>
              <w:pStyle w:val="TableContents"/>
              <w:bidi w:val="0"/>
              <w:spacing w:before="0" w:after="1"/>
              <w:ind w:left="0" w:right="0" w:hanging="0"/>
              <w:jc w:val="left"/>
              <w:rPr>
                <w:rFonts w:ascii="Segoe UI" w:hAnsi="Segoe UI"/>
                <w:sz w:val="16"/>
              </w:rPr>
            </w:pPr>
            <w:r>
              <w:rPr>
                <w:rFonts w:ascii="Segoe UI" w:hAnsi="Segoe UI"/>
                <w:sz w:val="16"/>
              </w:rPr>
              <w:t>Adjusted EBITDA</w:t>
            </w:r>
            <w:r>
              <w:rPr>
                <w:rFonts w:ascii="Segoe UI" w:hAnsi="Segoe UI"/>
                <w:sz w:val="12"/>
              </w:rPr>
              <w:t>(3)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3,107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7,421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7,994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725"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(58)</w:t>
            </w:r>
          </w:p>
        </w:tc>
        <w:tc>
          <w:tcPr>
            <w:tcW w:w="442"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694"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(61)</w:t>
            </w:r>
          </w:p>
        </w:tc>
        <w:tc>
          <w:tcPr>
            <w:tcW w:w="473"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18,402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21,234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715"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(13)</w:t>
            </w:r>
          </w:p>
        </w:tc>
        <w:tc>
          <w:tcPr>
            <w:tcW w:w="52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r>
    </w:tbl>
    <w:p>
      <w:pPr>
        <w:pStyle w:val="HorizontalLine"/>
        <w:pBdr>
          <w:bottom w:val="single" w:sz="12" w:space="0" w:color="000000"/>
        </w:pBdr>
        <w:bidi w:val="0"/>
        <w:spacing w:before="0" w:after="0"/>
        <w:ind w:left="0" w:right="7654" w:hanging="0"/>
        <w:jc w:val="left"/>
        <w:rPr/>
      </w:pPr>
      <w:r>
        <w:rPr/>
      </w:r>
    </w:p>
    <w:tbl>
      <w:tblPr>
        <w:tblW w:w="2463" w:type="dxa"/>
        <w:jc w:val="left"/>
        <w:tblInd w:w="0" w:type="dxa"/>
        <w:tblLayout w:type="fixed"/>
        <w:tblCellMar>
          <w:top w:w="0" w:type="dxa"/>
          <w:left w:w="0" w:type="dxa"/>
          <w:bottom w:w="0" w:type="dxa"/>
          <w:right w:w="0" w:type="dxa"/>
        </w:tblCellMar>
      </w:tblPr>
      <w:tblGrid>
        <w:gridCol w:w="230"/>
        <w:gridCol w:w="2210"/>
        <w:gridCol w:w="23"/>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bookmarkStart w:id="31" w:name="_Hlk220508315"/>
            <w:bookmarkEnd w:id="31"/>
            <w:r>
              <w:rPr>
                <w:rFonts w:ascii="Times New Roman;Times;serif" w:hAnsi="Times New Roman;Times;serif"/>
                <w:b w:val="false"/>
                <w:i w:val="false"/>
                <w:caps w:val="false"/>
                <w:smallCaps w:val="false"/>
                <w:sz w:val="16"/>
              </w:rPr>
              <w:t>"NM" means "Not Meaningful."</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14"/>
        <w:gridCol w:w="9967"/>
        <w:gridCol w:w="24"/>
      </w:tblGrid>
      <w:tr>
        <w:trPr/>
        <w:tc>
          <w:tcPr>
            <w:tcW w:w="21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Adjusted Net Income is a non-GAAP financial measure; see the non-GAAP reconciliation schedules to the most comparable GAAP measures at the end of this release for more information. </w:t>
            </w:r>
          </w:p>
        </w:tc>
        <w:tc>
          <w:tcPr>
            <w:tcW w:w="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00"/>
        <w:gridCol w:w="9981"/>
        <w:gridCol w:w="24"/>
      </w:tblGrid>
      <w:tr>
        <w:trPr/>
        <w:tc>
          <w:tcPr>
            <w:tcW w:w="20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Adjusted EBITDA is Adjusted Earnings Before Interest, Taxes, Depreciation, and Amortization and is a non-GAAP financial measure; see the non-GAAP reconciliation schedules to the most comparable GAAP measures at the end of this release for more information.</w:t>
            </w:r>
            <w:bookmarkStart w:id="32" w:name="_Hlk182262332"/>
            <w:bookmarkEnd w:id="32"/>
          </w:p>
        </w:tc>
        <w:tc>
          <w:tcPr>
            <w:tcW w:w="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Segoe UI" w:hAnsi="Segoe UI"/>
                <w:b w:val="false"/>
                <w:i w:val="false"/>
                <w:caps w:val="false"/>
                <w:smallCaps w:val="false"/>
                <w:sz w:val="22"/>
              </w:rPr>
            </w:pPr>
            <w:r>
              <w:rPr>
                <w:rFonts w:ascii="Segoe UI" w:hAnsi="Segoe UI"/>
                <w:b w:val="false"/>
                <w:i w:val="false"/>
                <w:caps w:val="false"/>
                <w:smallCaps w:val="false"/>
                <w:sz w:val="22"/>
              </w:rPr>
              <w:t>Fiscal Q3 production increased slightly year-over-year to 6,700 barrels of oil equivalent per day (“BOEPD”) from 6,667 BOEPD in the prior year period.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Segoe UI" w:hAnsi="Segoe UI"/>
                <w:b w:val="false"/>
                <w:i w:val="false"/>
                <w:caps w:val="false"/>
                <w:smallCaps w:val="false"/>
                <w:sz w:val="22"/>
              </w:rPr>
            </w:pPr>
            <w:r>
              <w:rPr>
                <w:rFonts w:ascii="Segoe UI" w:hAnsi="Segoe UI"/>
                <w:b w:val="false"/>
                <w:i w:val="false"/>
                <w:caps w:val="false"/>
                <w:smallCaps w:val="false"/>
                <w:sz w:val="22"/>
              </w:rPr>
              <w:t>Production remained stable during the quarter, as contributions from recent acquisitions partially offset weather-related disruptions and downtime.</w:t>
            </w:r>
          </w:p>
        </w:tc>
      </w:tr>
    </w:tbl>
    <w:tbl>
      <w:tblPr>
        <w:tblW w:w="7998" w:type="dxa"/>
        <w:jc w:val="left"/>
        <w:tblInd w:w="0" w:type="dxa"/>
        <w:tblLayout w:type="fixed"/>
        <w:tblCellMar>
          <w:top w:w="0" w:type="dxa"/>
          <w:left w:w="0" w:type="dxa"/>
          <w:bottom w:w="0" w:type="dxa"/>
          <w:right w:w="0" w:type="dxa"/>
        </w:tblCellMar>
      </w:tblPr>
      <w:tblGrid>
        <w:gridCol w:w="23"/>
        <w:gridCol w:w="170"/>
        <w:gridCol w:w="78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left"/>
              <w:rPr>
                <w:rFonts w:ascii="Segoe UI" w:hAnsi="Segoe UI"/>
                <w:b w:val="false"/>
                <w:i w:val="false"/>
                <w:caps w:val="false"/>
                <w:smallCaps w:val="false"/>
                <w:sz w:val="22"/>
              </w:rPr>
            </w:pPr>
            <w:r>
              <w:rPr>
                <w:rFonts w:ascii="Segoe UI" w:hAnsi="Segoe UI"/>
                <w:b w:val="false"/>
                <w:i w:val="false"/>
                <w:caps w:val="false"/>
                <w:smallCaps w:val="false"/>
                <w:sz w:val="22"/>
              </w:rPr>
              <w:t>Adjusted Net Income (Loss) and Adjusted EBITDA were impacted by:</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Segoe UI" w:hAnsi="Segoe UI"/>
                <w:b w:val="false"/>
                <w:i w:val="false"/>
                <w:caps w:val="false"/>
                <w:smallCaps w:val="false"/>
                <w:sz w:val="22"/>
              </w:rPr>
            </w:pPr>
            <w:r>
              <w:rPr>
                <w:rFonts w:ascii="Segoe UI" w:hAnsi="Segoe UI"/>
                <w:b w:val="false"/>
                <w:i w:val="false"/>
                <w:caps w:val="false"/>
                <w:smallCaps w:val="false"/>
                <w:sz w:val="22"/>
              </w:rPr>
              <w:t>$3.2 million in departure from the prior-year period differentials, including $1.2 million related to prior period adjustments at Delhi Field.</w:t>
            </w:r>
          </w:p>
        </w:tc>
      </w:tr>
    </w:tbl>
    <w:tbl>
      <w:tblPr>
        <w:tblW w:w="4428" w:type="dxa"/>
        <w:jc w:val="left"/>
        <w:tblInd w:w="0" w:type="dxa"/>
        <w:tblLayout w:type="fixed"/>
        <w:tblCellMar>
          <w:top w:w="0" w:type="dxa"/>
          <w:left w:w="0" w:type="dxa"/>
          <w:bottom w:w="0" w:type="dxa"/>
          <w:right w:w="0" w:type="dxa"/>
        </w:tblCellMar>
      </w:tblPr>
      <w:tblGrid>
        <w:gridCol w:w="23"/>
        <w:gridCol w:w="155"/>
        <w:gridCol w:w="425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4250" w:type="dxa"/>
            <w:tcBorders/>
            <w:vAlign w:val="center"/>
          </w:tcPr>
          <w:p>
            <w:pPr>
              <w:pStyle w:val="TableContents"/>
              <w:bidi w:val="0"/>
              <w:spacing w:before="0" w:after="283"/>
              <w:jc w:val="left"/>
              <w:rPr>
                <w:rFonts w:ascii="Segoe UI" w:hAnsi="Segoe UI"/>
                <w:b w:val="false"/>
                <w:i w:val="false"/>
                <w:caps w:val="false"/>
                <w:smallCaps w:val="false"/>
                <w:sz w:val="22"/>
              </w:rPr>
            </w:pPr>
            <w:r>
              <w:rPr>
                <w:rFonts w:ascii="Segoe UI" w:hAnsi="Segoe UI"/>
                <w:b w:val="false"/>
                <w:i w:val="false"/>
                <w:caps w:val="false"/>
                <w:smallCaps w:val="false"/>
                <w:sz w:val="22"/>
              </w:rPr>
              <w:t>$2.2 million in realized hedge losses.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pPr>
            <w:r>
              <w:rPr>
                <w:rFonts w:ascii="Segoe UI" w:hAnsi="Segoe UI"/>
                <w:b w:val="false"/>
                <w:i w:val="false"/>
                <w:caps w:val="false"/>
                <w:smallCaps w:val="false"/>
                <w:sz w:val="22"/>
              </w:rPr>
              <w:t xml:space="preserve">Downtime of over 300 BOEPD related to extreme weather conditions in January, </w:t>
            </w:r>
            <w:bookmarkStart w:id="33" w:name="_Int_e5p2fIrY"/>
            <w:bookmarkEnd w:id="33"/>
            <w:r>
              <w:rPr>
                <w:rFonts w:ascii="Segoe UI" w:hAnsi="Segoe UI"/>
                <w:b w:val="false"/>
                <w:i w:val="false"/>
                <w:caps w:val="false"/>
                <w:smallCaps w:val="false"/>
                <w:sz w:val="22"/>
              </w:rPr>
              <w:t>optimization</w:t>
            </w:r>
            <w:r>
              <w:rPr>
                <w:caps w:val="false"/>
                <w:smallCaps w:val="false"/>
              </w:rPr>
              <w:t xml:space="preserve"> </w:t>
            </w:r>
            <w:r>
              <w:rPr>
                <w:rFonts w:ascii="Segoe UI" w:hAnsi="Segoe UI"/>
                <w:b w:val="false"/>
                <w:i w:val="false"/>
                <w:caps w:val="false"/>
                <w:smallCaps w:val="false"/>
                <w:sz w:val="22"/>
              </w:rPr>
              <w:t>activities at certain facilities and unexpected equipment failures. With these issues resolved, production is substantially restored.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Segoe UI" w:hAnsi="Segoe UI"/>
                <w:b w:val="false"/>
                <w:i w:val="false"/>
                <w:caps w:val="false"/>
                <w:smallCaps w:val="false"/>
                <w:sz w:val="22"/>
              </w:rPr>
            </w:pPr>
            <w:r>
              <w:rPr>
                <w:rFonts w:ascii="Segoe UI" w:hAnsi="Segoe UI"/>
                <w:b w:val="false"/>
                <w:i w:val="false"/>
                <w:caps w:val="false"/>
                <w:smallCaps w:val="false"/>
                <w:sz w:val="22"/>
              </w:rPr>
              <w:t>Returned approximately $4.3 million to shareholders in the form of cash dividends during fiscal Q3.</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Segoe UI" w:hAnsi="Segoe UI"/>
                <w:b w:val="false"/>
                <w:i w:val="false"/>
                <w:caps w:val="false"/>
                <w:smallCaps w:val="false"/>
                <w:sz w:val="22"/>
              </w:rPr>
              <w:t>Evolution expects 23 wells tied to its</w:t>
            </w:r>
            <w:r>
              <w:rPr>
                <w:caps w:val="false"/>
                <w:smallCaps w:val="false"/>
              </w:rPr>
              <w:t xml:space="preserve"> </w:t>
            </w:r>
            <w:r>
              <w:rPr>
                <w:rFonts w:ascii="Segoe UI" w:hAnsi="Segoe UI"/>
                <w:b w:val="false"/>
                <w:i w:val="false"/>
                <w:caps w:val="false"/>
                <w:smallCaps w:val="false"/>
                <w:sz w:val="22"/>
              </w:rPr>
              <w:t>Louisiana royalty acquisitions to begin producing in the near term, meaningfully driving revenue and cash flow contributions</w:t>
            </w:r>
            <w:r>
              <w:rPr>
                <w:caps w:val="false"/>
                <w:smallCaps w:val="false"/>
              </w:rPr>
              <w:t xml:space="preserve"> </w:t>
            </w:r>
            <w:r>
              <w:rPr>
                <w:rFonts w:ascii="Segoe UI" w:hAnsi="Segoe UI"/>
                <w:b w:val="false"/>
                <w:i w:val="false"/>
                <w:caps w:val="false"/>
                <w:smallCaps w:val="false"/>
                <w:sz w:val="22"/>
              </w:rPr>
              <w:t>in fiscal Q4 2026 and onward.</w:t>
            </w:r>
          </w:p>
        </w:tc>
      </w:tr>
    </w:tbl>
    <w:p>
      <w:pPr>
        <w:pStyle w:val="TextBody"/>
        <w:bidi w:val="0"/>
        <w:spacing w:lineRule="auto" w:line="307" w:before="200" w:after="60"/>
        <w:ind w:left="0" w:right="0" w:hanging="0"/>
        <w:jc w:val="left"/>
        <w:rPr>
          <w:rFonts w:ascii="Segoe UI Semibold" w:hAnsi="Segoe UI Semibold"/>
          <w:b/>
          <w:sz w:val="22"/>
        </w:rPr>
      </w:pPr>
      <w:r>
        <w:rPr>
          <w:rFonts w:ascii="Segoe UI Semibold" w:hAnsi="Segoe UI Semibold"/>
          <w:b/>
          <w:sz w:val="22"/>
        </w:rPr>
        <w:t>M&amp;A Highlights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Segoe UI" w:hAnsi="Segoe UI"/>
                <w:b w:val="false"/>
                <w:i w:val="false"/>
                <w:caps w:val="false"/>
                <w:smallCaps w:val="false"/>
                <w:sz w:val="22"/>
              </w:rPr>
            </w:pPr>
            <w:r>
              <w:rPr>
                <w:rFonts w:ascii="Segoe UI" w:hAnsi="Segoe UI"/>
                <w:b w:val="false"/>
                <w:i w:val="false"/>
                <w:caps w:val="false"/>
                <w:smallCaps w:val="false"/>
                <w:sz w:val="22"/>
              </w:rPr>
              <w:t>Acquired mineral and royalty interests across multiple Louisiana parishes from December 2025 through March 2026, for a total consideration of approximately $5.0 million, primarily consisting of proved producing wells, drilled but not yet producing wells, and permitted locations.</w:t>
            </w:r>
          </w:p>
        </w:tc>
      </w:tr>
    </w:tbl>
    <w:p>
      <w:pPr>
        <w:pStyle w:val="TextBody"/>
        <w:bidi w:val="0"/>
        <w:spacing w:lineRule="auto" w:line="285" w:before="0" w:after="0"/>
        <w:ind w:left="0" w:right="0" w:hanging="0"/>
        <w:jc w:val="center"/>
        <w:rPr>
          <w:rFonts w:ascii="Segoe UI" w:hAnsi="Segoe UI"/>
          <w:sz w:val="22"/>
        </w:rPr>
      </w:pPr>
      <w:r>
        <w:rPr>
          <w:rFonts w:ascii="Segoe UI" w:hAnsi="Segoe UI"/>
          <w:sz w:val="22"/>
        </w:rPr>
        <w:t>1</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Segoe UI" w:hAnsi="Segoe UI"/>
                <w:b w:val="false"/>
                <w:i w:val="false"/>
                <w:caps w:val="false"/>
                <w:smallCaps w:val="false"/>
                <w:sz w:val="22"/>
              </w:rPr>
            </w:pPr>
            <w:r>
              <w:rPr>
                <w:rFonts w:ascii="Segoe UI" w:hAnsi="Segoe UI"/>
                <w:b w:val="false"/>
                <w:i w:val="false"/>
                <w:caps w:val="false"/>
                <w:smallCaps w:val="false"/>
                <w:sz w:val="22"/>
              </w:rPr>
              <w:t xml:space="preserve">These transactions added approximately 350 net royalty acres (“NRA”), including 17 gross PDP locations as of quarter-end, and over 50 gross future locations, most of which is expected to begin producing in the near term, enhancing the Company’s inventory of capital-light assets.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bookmarkStart w:id="34" w:name="_Int_lLwlBGd8"/>
            <w:bookmarkEnd w:id="34"/>
            <w:r>
              <w:rPr>
                <w:rFonts w:ascii="Segoe UI" w:hAnsi="Segoe UI"/>
                <w:b w:val="false"/>
                <w:i w:val="false"/>
                <w:caps w:val="false"/>
                <w:smallCaps w:val="false"/>
                <w:sz w:val="22"/>
              </w:rPr>
              <w:t>Subsequent to</w:t>
            </w:r>
            <w:r>
              <w:rPr>
                <w:caps w:val="false"/>
                <w:smallCaps w:val="false"/>
              </w:rPr>
              <w:t xml:space="preserve"> </w:t>
            </w:r>
            <w:r>
              <w:rPr>
                <w:rFonts w:ascii="Segoe UI" w:hAnsi="Segoe UI"/>
                <w:b w:val="false"/>
                <w:i w:val="false"/>
                <w:caps w:val="false"/>
                <w:smallCaps w:val="false"/>
                <w:sz w:val="22"/>
              </w:rPr>
              <w:t xml:space="preserve">quarter-end, Evolution high-graded its minerals and </w:t>
            </w:r>
            <w:bookmarkStart w:id="35" w:name="_Int_c6Gd5yXq"/>
            <w:bookmarkEnd w:id="35"/>
            <w:r>
              <w:rPr>
                <w:rFonts w:ascii="Segoe UI" w:hAnsi="Segoe UI"/>
                <w:b w:val="false"/>
                <w:i w:val="false"/>
                <w:caps w:val="false"/>
                <w:smallCaps w:val="false"/>
                <w:sz w:val="22"/>
              </w:rPr>
              <w:t>royalties</w:t>
            </w:r>
            <w:r>
              <w:rPr>
                <w:caps w:val="false"/>
                <w:smallCaps w:val="false"/>
              </w:rPr>
              <w:t xml:space="preserve"> </w:t>
            </w:r>
            <w:r>
              <w:rPr>
                <w:rFonts w:ascii="Segoe UI" w:hAnsi="Segoe UI"/>
                <w:b w:val="false"/>
                <w:i w:val="false"/>
                <w:caps w:val="false"/>
                <w:smallCaps w:val="false"/>
                <w:sz w:val="22"/>
              </w:rPr>
              <w:t>portfolio by agreeing to sell longer-dated locations and acquiring cash-flowing properties with near-term upside.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Segoe UI" w:hAnsi="Segoe UI"/>
                <w:b w:val="false"/>
                <w:i w:val="false"/>
                <w:caps w:val="false"/>
                <w:smallCaps w:val="false"/>
                <w:sz w:val="22"/>
              </w:rPr>
            </w:pPr>
            <w:r>
              <w:rPr>
                <w:rFonts w:ascii="Segoe UI" w:hAnsi="Segoe UI"/>
                <w:b w:val="false"/>
                <w:i w:val="false"/>
                <w:caps w:val="false"/>
                <w:smallCaps w:val="false"/>
                <w:sz w:val="22"/>
              </w:rPr>
              <w:t>Agreed to divest a portion of non-core, unproved, mineral acres from its SCOOP/STACK portfolio for total consideration of approximately $3.3 million.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Segoe UI" w:hAnsi="Segoe UI"/>
                <w:b w:val="false"/>
                <w:i w:val="false"/>
                <w:caps w:val="false"/>
                <w:smallCaps w:val="false"/>
                <w:sz w:val="22"/>
              </w:rPr>
            </w:pPr>
            <w:r>
              <w:rPr>
                <w:rFonts w:ascii="Segoe UI" w:hAnsi="Segoe UI"/>
                <w:b w:val="false"/>
                <w:i w:val="false"/>
                <w:caps w:val="false"/>
                <w:smallCaps w:val="false"/>
                <w:sz w:val="22"/>
              </w:rPr>
              <w:t>Acquired an additional 50 NRA in the heart of the Haynesville and Bossier Shales, consisting of PDP’s, DUCs, and near-term locations for approximately $0.5 million.</w:t>
            </w:r>
          </w:p>
        </w:tc>
      </w:tr>
    </w:tbl>
    <w:p>
      <w:pPr>
        <w:pStyle w:val="TextBody"/>
        <w:bidi w:val="0"/>
        <w:spacing w:lineRule="auto" w:line="307" w:before="200" w:after="60"/>
        <w:ind w:left="0" w:right="0" w:hanging="0"/>
        <w:jc w:val="left"/>
        <w:rPr>
          <w:rFonts w:ascii="Segoe UI Semibold" w:hAnsi="Segoe UI Semibold"/>
          <w:b/>
          <w:sz w:val="22"/>
        </w:rPr>
      </w:pPr>
      <w:r>
        <w:rPr>
          <w:rFonts w:ascii="Segoe UI Semibold" w:hAnsi="Segoe UI Semibold"/>
          <w:b/>
          <w:sz w:val="22"/>
        </w:rPr>
        <w:t>Management Comments</w:t>
      </w:r>
    </w:p>
    <w:p>
      <w:pPr>
        <w:pStyle w:val="TextBody"/>
        <w:bidi w:val="0"/>
        <w:spacing w:lineRule="auto" w:line="321" w:before="100" w:after="100"/>
        <w:ind w:left="0" w:right="0" w:hanging="0"/>
        <w:jc w:val="both"/>
        <w:rPr>
          <w:rFonts w:ascii="Segoe UI" w:hAnsi="Segoe UI"/>
          <w:sz w:val="22"/>
        </w:rPr>
      </w:pPr>
      <w:r>
        <w:rPr>
          <w:rFonts w:ascii="Segoe UI" w:hAnsi="Segoe UI"/>
          <w:sz w:val="22"/>
        </w:rPr>
        <w:t>Kelly Loyd, President and Chief Executive Officer, commented: “We continued to make steady progress during the fiscal third quarter, with contributions from recent acquisitions supporting overall volumes across our diversified portfolio. The quarter included the effects of a combination of items that were either isolated, temporary, or one-time. As these have rolled off, we can already see the powerful effects of combining our long-life, low-decline legacy properties, our higher-margin portfolio additions, and our high-return, low-cost workover projects. As we look to the fiscal 4</w:t>
      </w:r>
      <w:r>
        <w:rPr>
          <w:rFonts w:ascii="Segoe UI" w:hAnsi="Segoe UI"/>
          <w:sz w:val="17"/>
        </w:rPr>
        <w:t>th</w:t>
      </w:r>
      <w:r>
        <w:rPr>
          <w:rFonts w:ascii="Segoe UI" w:hAnsi="Segoe UI"/>
          <w:sz w:val="22"/>
        </w:rPr>
        <w:t xml:space="preserve"> quarter and beyond, we expect our underlying performance to reflect the portfolio's true earnings power.</w:t>
      </w:r>
    </w:p>
    <w:p>
      <w:pPr>
        <w:pStyle w:val="TextBody"/>
        <w:bidi w:val="0"/>
        <w:spacing w:lineRule="auto" w:line="321" w:before="100" w:after="100"/>
        <w:ind w:left="0" w:right="0" w:hanging="0"/>
        <w:jc w:val="both"/>
        <w:rPr/>
      </w:pPr>
      <w:r>
        <w:rPr/>
        <w:t>“</w:t>
      </w:r>
      <w:r>
        <w:rPr>
          <w:rFonts w:ascii="Segoe UI" w:hAnsi="Segoe UI"/>
          <w:sz w:val="22"/>
        </w:rPr>
        <w:t>Operationally, we made encouraging progress across our asset base, identifying impactful opportunities. For example, the TexMex assets offer meaningful near-term upside, with more than 100 net BOEPD of incremental production to be added by the end of our fiscal 4</w:t>
      </w:r>
      <w:r>
        <w:rPr>
          <w:rFonts w:ascii="Segoe UI" w:hAnsi="Segoe UI"/>
          <w:sz w:val="17"/>
        </w:rPr>
        <w:t>th</w:t>
      </w:r>
      <w:r>
        <w:rPr>
          <w:rFonts w:ascii="Segoe UI" w:hAnsi="Segoe UI"/>
          <w:sz w:val="22"/>
        </w:rPr>
        <w:t xml:space="preserve"> quarter as ongoing optimization work is completed. At Chaveroo, since quarter-end, we have completed conversion of all but one of our wells from electric submersible pumps ("ESP") to rod pumps, as water production declined as projected, which should reduce operating costs and allow for longer run-times. These are just two of the many impactful optimization projects we are working on with our operators across the portfolio.</w:t>
      </w:r>
    </w:p>
    <w:p>
      <w:pPr>
        <w:pStyle w:val="TextBody"/>
        <w:bidi w:val="0"/>
        <w:spacing w:lineRule="auto" w:line="321" w:before="100" w:after="100"/>
        <w:ind w:left="0" w:right="0" w:hanging="0"/>
        <w:jc w:val="both"/>
        <w:rPr/>
      </w:pPr>
      <w:r>
        <w:rPr/>
        <w:t>“</w:t>
      </w:r>
      <w:r>
        <w:rPr>
          <w:rFonts w:ascii="Segoe UI" w:hAnsi="Segoe UI"/>
          <w:sz w:val="22"/>
        </w:rPr>
        <w:t xml:space="preserve">On the acquisition front, we continued </w:t>
      </w:r>
      <w:bookmarkStart w:id="36" w:name="_Int_CYciS2jx"/>
      <w:bookmarkEnd w:id="36"/>
      <w:r>
        <w:rPr>
          <w:rFonts w:ascii="Segoe UI" w:hAnsi="Segoe UI"/>
          <w:sz w:val="22"/>
        </w:rPr>
        <w:t>executing on our mineral and royalty strategy. During the quarter, we expanded our Louisiana position in the Haynesville and Bossier Shales. These assets are being actively developed by operators in the area and provide capital-light exposure to substantial future development. We continue to see highly accretive bolt-on opportunities to build scale and expect contributions from these high-margin positions to grow over time as completion activity progresses with no additional development cost to the Company. We also agreed to divest non-core mineral acreage having more distant future development plans and reinvest into near-term opportunities with clearer visibility of revenue and cash flow contributions beginning in fiscal 2027.</w:t>
      </w:r>
    </w:p>
    <w:p>
      <w:pPr>
        <w:pStyle w:val="TextBody"/>
        <w:bidi w:val="0"/>
        <w:spacing w:lineRule="auto" w:line="302" w:before="100" w:after="100"/>
        <w:ind w:left="0" w:right="0" w:hanging="0"/>
        <w:jc w:val="left"/>
        <w:rPr/>
      </w:pPr>
      <w:r>
        <w:rPr/>
        <w:t>“</w:t>
      </w:r>
      <w:r>
        <w:rPr>
          <w:rFonts w:ascii="Segoe UI" w:hAnsi="Segoe UI"/>
          <w:sz w:val="22"/>
        </w:rPr>
        <w:t>Looking ahead, we remain committed to our long-standing capital allocation framework and believe we are well positioned to protect the balance sheet, support a dividend that we have maintained for more than 50 consecutive quarters, which we believe is durable through cycles, deploy capital where we see compelling risk-adjusted returns, and continue compounding long-term value for our shareholders.”</w:t>
      </w:r>
    </w:p>
    <w:p>
      <w:pPr>
        <w:pStyle w:val="TextBody"/>
        <w:bidi w:val="0"/>
        <w:spacing w:lineRule="auto" w:line="285" w:before="0" w:after="0"/>
        <w:ind w:left="0" w:right="0" w:hanging="0"/>
        <w:jc w:val="center"/>
        <w:rPr>
          <w:rFonts w:ascii="Segoe UI" w:hAnsi="Segoe UI"/>
          <w:sz w:val="22"/>
        </w:rPr>
      </w:pPr>
      <w:r>
        <w:rPr>
          <w:rFonts w:ascii="Segoe UI" w:hAnsi="Segoe UI"/>
          <w:sz w:val="22"/>
        </w:rPr>
        <w:t>2</w:t>
      </w:r>
    </w:p>
    <w:p>
      <w:pPr>
        <w:pStyle w:val="HorizontalLine"/>
        <w:pBdr>
          <w:bottom w:val="double" w:sz="2" w:space="0" w:color="808080"/>
        </w:pBdr>
        <w:bidi w:val="0"/>
        <w:spacing w:before="0" w:after="283"/>
        <w:jc w:val="left"/>
        <w:rPr/>
      </w:pPr>
      <w:r>
        <w:rPr/>
      </w:r>
    </w:p>
    <w:p>
      <w:pPr>
        <w:pStyle w:val="TextBody"/>
        <w:bidi w:val="0"/>
        <w:spacing w:lineRule="auto" w:line="307" w:before="0" w:after="60"/>
        <w:ind w:left="0" w:right="0" w:hanging="0"/>
        <w:jc w:val="left"/>
        <w:rPr>
          <w:rFonts w:ascii="Segoe UI Semibold" w:hAnsi="Segoe UI Semibold"/>
          <w:b/>
          <w:sz w:val="22"/>
        </w:rPr>
      </w:pPr>
      <w:r>
        <w:rPr>
          <w:rFonts w:ascii="Segoe UI Semibold" w:hAnsi="Segoe UI Semibold"/>
          <w:b/>
          <w:sz w:val="22"/>
        </w:rPr>
        <w:t>Fiscal Third Quarter 2026 Financial Results</w:t>
      </w:r>
    </w:p>
    <w:p>
      <w:pPr>
        <w:pStyle w:val="TextBody"/>
        <w:bidi w:val="0"/>
        <w:spacing w:lineRule="auto" w:line="321" w:before="100" w:after="100"/>
        <w:ind w:left="0" w:right="0" w:hanging="0"/>
        <w:jc w:val="both"/>
        <w:rPr>
          <w:rFonts w:ascii="Segoe UI" w:hAnsi="Segoe UI"/>
          <w:sz w:val="22"/>
        </w:rPr>
      </w:pPr>
      <w:r>
        <w:rPr>
          <w:rFonts w:ascii="Segoe UI" w:hAnsi="Segoe UI"/>
          <w:sz w:val="22"/>
        </w:rPr>
        <w:t xml:space="preserve">Total revenues decreased 11% to $20.2 million compared to $22.6 million in the year-ago quarter. The change was driven primarily by an 11% decrease in average realized equivalent prices, partially offset by a slight increase in average daily production. The current quarter oil revenue at Delhi Field was materially impacted by a one-time $1.2 million prior-period adjustment for transportation charges, due to a new marketing contract </w:t>
      </w:r>
      <w:bookmarkStart w:id="37" w:name="_Int_VK0ErVtL"/>
      <w:bookmarkEnd w:id="37"/>
      <w:r>
        <w:rPr>
          <w:rFonts w:ascii="Segoe UI" w:hAnsi="Segoe UI"/>
          <w:sz w:val="22"/>
        </w:rPr>
        <w:t>entered into by the operator in December 2024 and not communicated to the Company until the current quarter. The Company is reviewing responses to these actions and is evaluating alternative marketing options going forward. During the current quarter, decreases in natural gas revenues were driven by unfavorable natural gas field differentials. At Jonah Field in particular, the historically warm winter on the West Coast led to differentials declining by $1.96 per Mcf on average compared to the year-ago period. Barnett Shale also experienced more unfavorable differentials than last year, declining by $0.90 per Mcf below the year-ago period.</w:t>
      </w:r>
    </w:p>
    <w:p>
      <w:pPr>
        <w:pStyle w:val="TextBody"/>
        <w:bidi w:val="0"/>
        <w:spacing w:lineRule="auto" w:line="321" w:before="100" w:after="100"/>
        <w:ind w:left="0" w:right="0" w:hanging="0"/>
        <w:jc w:val="left"/>
        <w:rPr>
          <w:rFonts w:ascii="Segoe UI" w:hAnsi="Segoe UI"/>
          <w:sz w:val="22"/>
        </w:rPr>
      </w:pPr>
      <w:r>
        <w:rPr>
          <w:rFonts w:ascii="Segoe UI" w:hAnsi="Segoe UI"/>
          <w:sz w:val="22"/>
        </w:rPr>
        <w:t>Lease operating costs (“LOE”) improved to $13.0 million compared to $13.4 million in the year-ago quarter. The decrease was primarily driven by the cessation of CO</w:t>
      </w:r>
      <w:r>
        <w:rPr>
          <w:rFonts w:ascii="Segoe UI" w:hAnsi="Segoe UI"/>
          <w:sz w:val="17"/>
        </w:rPr>
        <w:t>2</w:t>
      </w:r>
      <w:r>
        <w:rPr>
          <w:rFonts w:ascii="Segoe UI" w:hAnsi="Segoe UI"/>
          <w:sz w:val="22"/>
        </w:rPr>
        <w:t xml:space="preserve"> purchases at Delhi Field, partially offset by the addition of TexMex properties and initial workover and facility upgrades in the field. On a per-unit basis, LOE was $21.49 per BOE compared to $22.32 per BOE in the year-ago quarter. The addition of our recently acquired Oklahoma and Louisiana Minerals properties contributed to the lower per-unit LOE as they provide a higher-margin asset base with no lifting costs.</w:t>
      </w:r>
    </w:p>
    <w:p>
      <w:pPr>
        <w:pStyle w:val="TextBody"/>
        <w:bidi w:val="0"/>
        <w:spacing w:lineRule="auto" w:line="304" w:before="100" w:after="100"/>
        <w:ind w:left="0" w:right="0" w:hanging="0"/>
        <w:jc w:val="both"/>
        <w:rPr>
          <w:rFonts w:ascii="Segoe UI" w:hAnsi="Segoe UI"/>
          <w:sz w:val="22"/>
        </w:rPr>
      </w:pPr>
      <w:r>
        <w:rPr>
          <w:rFonts w:ascii="Segoe UI" w:hAnsi="Segoe UI"/>
          <w:sz w:val="22"/>
        </w:rPr>
        <w:t xml:space="preserve">Depletion, depreciation, and accretion expense </w:t>
      </w:r>
      <w:bookmarkStart w:id="38" w:name="_Int_tdCw1n2b"/>
      <w:bookmarkEnd w:id="38"/>
      <w:r>
        <w:rPr>
          <w:rFonts w:ascii="Segoe UI" w:hAnsi="Segoe UI"/>
          <w:sz w:val="22"/>
        </w:rPr>
        <w:t>was $5.3 million compared to $5.0 million in the year-ago period. On a per-BOE basis, the Company’s current quarter depletion rate was $8.13 per BOE, compared to $7.68 per BOE in the year-ago period.</w:t>
      </w:r>
    </w:p>
    <w:p>
      <w:pPr>
        <w:pStyle w:val="TextBody"/>
        <w:bidi w:val="0"/>
        <w:spacing w:lineRule="auto" w:line="321" w:before="100" w:after="100"/>
        <w:ind w:left="0" w:right="0" w:hanging="0"/>
        <w:jc w:val="both"/>
        <w:rPr>
          <w:rFonts w:ascii="Segoe UI" w:hAnsi="Segoe UI"/>
          <w:sz w:val="22"/>
        </w:rPr>
      </w:pPr>
      <w:r>
        <w:rPr>
          <w:rFonts w:ascii="Segoe UI" w:hAnsi="Segoe UI"/>
          <w:sz w:val="22"/>
        </w:rPr>
        <w:t>General and administrative (“G&amp;A”) expenses (excluding stock-based compensation) remained flat at $1.9 million for each period. On a per-BOE basis, G&amp;A (excluding stock-based compensation) was $3.11 compared to $3.22 in the year-ago period.</w:t>
      </w:r>
    </w:p>
    <w:p>
      <w:pPr>
        <w:pStyle w:val="TextBody"/>
        <w:bidi w:val="0"/>
        <w:spacing w:lineRule="auto" w:line="321" w:before="100" w:after="100"/>
        <w:ind w:left="0" w:right="0" w:hanging="0"/>
        <w:jc w:val="both"/>
        <w:rPr/>
      </w:pPr>
      <w:r>
        <w:rPr>
          <w:rFonts w:ascii="Segoe UI" w:hAnsi="Segoe UI"/>
          <w:sz w:val="22"/>
        </w:rPr>
        <w:t>The Company reported net loss of $8.9 million, or ($0.26) per diluted share, compared to net loss of $2.2 million, or $(0.07) per diluted share, in the year-ago period, primarily driven by unrealized losses on future period hedges extending into calendar 2027. Excluding the impact of selected items, which include losses on the unrealized portion of hedges, the Company reported adjusted net loss of $2.9 million, compared to adjusted net income of $0.8 million in the year-ago period.</w:t>
      </w:r>
      <w:r>
        <w:rPr>
          <w:rFonts w:ascii="Segoe UI" w:hAnsi="Segoe UI"/>
          <w:sz w:val="17"/>
        </w:rPr>
        <w:t>(</w:t>
      </w:r>
      <w:hyperlink w:anchor="footnote-3">
        <w:r>
          <w:rPr>
            <w:rStyle w:val="InternetLink"/>
            <w:rFonts w:ascii="Times New Roman;Times;serif" w:hAnsi="Times New Roman;Times;serif"/>
            <w:sz w:val="17"/>
          </w:rPr>
          <w:t>1</w:t>
        </w:r>
      </w:hyperlink>
      <w:r>
        <w:rPr>
          <w:rFonts w:ascii="Segoe UI" w:hAnsi="Segoe UI"/>
          <w:sz w:val="17"/>
        </w:rPr>
        <w:t>)</w:t>
      </w:r>
    </w:p>
    <w:p>
      <w:pPr>
        <w:pStyle w:val="TextBody"/>
        <w:bidi w:val="0"/>
        <w:spacing w:lineRule="auto" w:line="321" w:before="100" w:after="100"/>
        <w:ind w:left="0" w:right="0" w:hanging="0"/>
        <w:jc w:val="left"/>
        <w:rPr/>
      </w:pPr>
      <w:r>
        <w:rPr>
          <w:rFonts w:ascii="Segoe UI" w:hAnsi="Segoe UI"/>
          <w:sz w:val="22"/>
        </w:rPr>
        <w:t>Adjusted EBITDA was $3.1 million compared to $7.4 million in the year-ago quarter. The decrease was primarily due to historically high unfavorable natural gas field differentials, the aforementioned prior-period adjustments at Delhi, and realized losses on derivative contracts, compared to the prior-year period.</w:t>
      </w:r>
      <w:r>
        <w:rPr>
          <w:rFonts w:ascii="Segoe UI" w:hAnsi="Segoe UI"/>
          <w:sz w:val="17"/>
        </w:rPr>
        <w:t>(</w:t>
      </w:r>
      <w:hyperlink w:anchor="footnote-4">
        <w:r>
          <w:rPr>
            <w:rStyle w:val="InternetLink"/>
            <w:rFonts w:ascii="Times New Roman;Times;serif" w:hAnsi="Times New Roman;Times;serif"/>
            <w:sz w:val="17"/>
          </w:rPr>
          <w:t>2</w:t>
        </w:r>
      </w:hyperlink>
      <w:r>
        <w:rPr>
          <w:rFonts w:ascii="Segoe UI" w:hAnsi="Segoe UI"/>
          <w:sz w:val="17"/>
        </w:rPr>
        <w:t>)</w:t>
      </w:r>
    </w:p>
    <w:p>
      <w:pPr>
        <w:pStyle w:val="Normal"/>
        <w:bidi w:val="0"/>
        <w:spacing w:before="0" w:after="0"/>
        <w:jc w:val="left"/>
        <w:rPr>
          <w:sz w:val="4"/>
          <w:szCs w:val="4"/>
        </w:rPr>
      </w:pPr>
      <w:r>
        <w:rPr>
          <w:sz w:val="4"/>
          <w:szCs w:val="4"/>
        </w:rPr>
      </w:r>
      <w:bookmarkStart w:id="39" w:name="footnote-3"/>
      <w:bookmarkStart w:id="40" w:name="footnote-3"/>
      <w:bookmarkEnd w:id="40"/>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lineRule="auto" w:line="285" w:before="0" w:after="0"/>
              <w:jc w:val="left"/>
              <w:rPr>
                <w:rFonts w:ascii="Segoe UI" w:hAnsi="Segoe UI"/>
                <w:sz w:val="16"/>
              </w:rPr>
            </w:pPr>
            <w:r>
              <w:rPr>
                <w:rFonts w:ascii="Segoe UI" w:hAnsi="Segoe UI"/>
                <w:sz w:val="16"/>
              </w:rPr>
              <w:t>(</w:t>
            </w:r>
            <w:r>
              <w:rPr>
                <w:rFonts w:ascii="Times New Roman;Times;serif" w:hAnsi="Times New Roman;Times;serif"/>
                <w:sz w:val="16"/>
              </w:rPr>
              <w:t>1</w:t>
            </w:r>
            <w:r>
              <w:rPr>
                <w:rFonts w:ascii="Segoe UI" w:hAnsi="Segoe UI"/>
                <w:sz w:val="16"/>
              </w:rPr>
              <w:t>)</w:t>
            </w:r>
          </w:p>
        </w:tc>
        <w:tc>
          <w:tcPr>
            <w:tcW w:w="10024" w:type="dxa"/>
            <w:tcBorders/>
            <w:vAlign w:val="center"/>
          </w:tcPr>
          <w:p>
            <w:pPr>
              <w:pStyle w:val="TableContents"/>
              <w:bidi w:val="0"/>
              <w:spacing w:lineRule="auto" w:line="285" w:before="0" w:after="0"/>
              <w:jc w:val="left"/>
              <w:rPr>
                <w:rFonts w:ascii="Segoe UI" w:hAnsi="Segoe UI"/>
                <w:sz w:val="16"/>
              </w:rPr>
            </w:pPr>
            <w:r>
              <w:rPr>
                <w:rFonts w:ascii="Segoe UI" w:hAnsi="Segoe UI"/>
                <w:sz w:val="16"/>
              </w:rPr>
              <w:t>Adjusted net income (loss) is a non-GAAP financial measure; see the non-GAAP reconciliation schedules to the most comparable GAAP measures at the end of this release for more information.</w:t>
            </w:r>
          </w:p>
        </w:tc>
      </w:tr>
    </w:tbl>
    <w:p>
      <w:pPr>
        <w:pStyle w:val="Normal"/>
        <w:bidi w:val="0"/>
        <w:spacing w:before="0" w:after="0"/>
        <w:jc w:val="left"/>
        <w:rPr>
          <w:sz w:val="4"/>
          <w:szCs w:val="4"/>
        </w:rPr>
      </w:pPr>
      <w:r>
        <w:rPr>
          <w:sz w:val="4"/>
          <w:szCs w:val="4"/>
        </w:rPr>
      </w:r>
      <w:bookmarkStart w:id="41" w:name="footnote-4"/>
      <w:bookmarkStart w:id="42" w:name="footnote-4"/>
      <w:bookmarkEnd w:id="42"/>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lineRule="auto" w:line="285" w:before="0" w:after="0"/>
              <w:jc w:val="left"/>
              <w:rPr>
                <w:rFonts w:ascii="Segoe UI" w:hAnsi="Segoe UI"/>
                <w:sz w:val="16"/>
              </w:rPr>
            </w:pPr>
            <w:r>
              <w:rPr>
                <w:rFonts w:ascii="Segoe UI" w:hAnsi="Segoe UI"/>
                <w:sz w:val="16"/>
              </w:rPr>
              <w:t>(</w:t>
            </w:r>
            <w:r>
              <w:rPr>
                <w:rFonts w:ascii="Times New Roman;Times;serif" w:hAnsi="Times New Roman;Times;serif"/>
                <w:sz w:val="16"/>
              </w:rPr>
              <w:t>2</w:t>
            </w:r>
            <w:r>
              <w:rPr>
                <w:rFonts w:ascii="Segoe UI" w:hAnsi="Segoe UI"/>
                <w:sz w:val="16"/>
              </w:rPr>
              <w:t>)</w:t>
            </w:r>
          </w:p>
        </w:tc>
        <w:tc>
          <w:tcPr>
            <w:tcW w:w="10044" w:type="dxa"/>
            <w:tcBorders/>
            <w:vAlign w:val="center"/>
          </w:tcPr>
          <w:p>
            <w:pPr>
              <w:pStyle w:val="TableContents"/>
              <w:bidi w:val="0"/>
              <w:spacing w:lineRule="auto" w:line="285" w:before="0" w:after="0"/>
              <w:jc w:val="left"/>
              <w:rPr>
                <w:rFonts w:ascii="Segoe UI" w:hAnsi="Segoe UI"/>
                <w:sz w:val="16"/>
              </w:rPr>
            </w:pPr>
            <w:r>
              <w:rPr>
                <w:rFonts w:ascii="Segoe UI" w:hAnsi="Segoe UI"/>
                <w:sz w:val="16"/>
              </w:rPr>
              <w:t>Adjusted EBITDA is Adjusted Earnings Before Interest, Taxes, Depreciation, and Amortization and is a non-GAAP financial measure; see the non-GAAP reconciliation schedules to the most comparable GAAP measures at the end of this release for more information.</w:t>
            </w:r>
          </w:p>
        </w:tc>
      </w:tr>
    </w:tbl>
    <w:p>
      <w:pPr>
        <w:pStyle w:val="TextBody"/>
        <w:bidi w:val="0"/>
        <w:spacing w:lineRule="auto" w:line="285" w:before="0" w:after="0"/>
        <w:ind w:left="0" w:right="0" w:hanging="0"/>
        <w:jc w:val="center"/>
        <w:rPr>
          <w:rFonts w:ascii="Segoe UI" w:hAnsi="Segoe UI"/>
          <w:sz w:val="22"/>
        </w:rPr>
      </w:pPr>
      <w:r>
        <w:rPr>
          <w:rFonts w:ascii="Segoe UI" w:hAnsi="Segoe UI"/>
          <w:sz w:val="22"/>
        </w:rPr>
        <w:t>3</w:t>
      </w:r>
    </w:p>
    <w:p>
      <w:pPr>
        <w:pStyle w:val="HorizontalLine"/>
        <w:pBdr>
          <w:bottom w:val="double" w:sz="2" w:space="0" w:color="808080"/>
        </w:pBdr>
        <w:bidi w:val="0"/>
        <w:spacing w:before="0" w:after="283"/>
        <w:jc w:val="left"/>
        <w:rPr/>
      </w:pPr>
      <w:r>
        <w:rPr/>
      </w:r>
    </w:p>
    <w:p>
      <w:pPr>
        <w:pStyle w:val="TextBody"/>
        <w:bidi w:val="0"/>
        <w:spacing w:lineRule="auto" w:line="307" w:before="0" w:after="60"/>
        <w:ind w:left="0" w:right="0" w:hanging="0"/>
        <w:jc w:val="left"/>
        <w:rPr>
          <w:rFonts w:ascii="Segoe UI Semibold" w:hAnsi="Segoe UI Semibold"/>
          <w:b/>
          <w:sz w:val="22"/>
        </w:rPr>
      </w:pPr>
      <w:r>
        <w:rPr>
          <w:rFonts w:ascii="Segoe UI Semibold" w:hAnsi="Segoe UI Semibold"/>
          <w:b/>
          <w:sz w:val="22"/>
        </w:rPr>
        <w:t>Production &amp; Pricing</w:t>
      </w:r>
    </w:p>
    <w:tbl>
      <w:tblPr>
        <w:tblW w:w="6328" w:type="dxa"/>
        <w:jc w:val="left"/>
        <w:tblInd w:w="0" w:type="dxa"/>
        <w:tblLayout w:type="fixed"/>
        <w:tblCellMar>
          <w:top w:w="0" w:type="dxa"/>
          <w:left w:w="0" w:type="dxa"/>
          <w:bottom w:w="0" w:type="dxa"/>
          <w:right w:w="0" w:type="dxa"/>
        </w:tblCellMar>
      </w:tblPr>
      <w:tblGrid>
        <w:gridCol w:w="2236"/>
        <w:gridCol w:w="109"/>
        <w:gridCol w:w="243"/>
        <w:gridCol w:w="657"/>
        <w:gridCol w:w="109"/>
        <w:gridCol w:w="243"/>
        <w:gridCol w:w="657"/>
        <w:gridCol w:w="109"/>
        <w:gridCol w:w="1091"/>
        <w:gridCol w:w="874"/>
      </w:tblGrid>
      <w:tr>
        <w:trPr/>
        <w:tc>
          <w:tcPr>
            <w:tcW w:w="223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43" w:type="dxa"/>
            <w:tcBorders/>
            <w:vAlign w:val="center"/>
          </w:tcPr>
          <w:p>
            <w:pPr>
              <w:pStyle w:val="TableContents"/>
              <w:bidi w:val="0"/>
              <w:spacing w:lineRule="auto" w:line="321" w:before="0" w:after="1"/>
              <w:ind w:left="0" w:right="0" w:hanging="0"/>
              <w:jc w:val="left"/>
              <w:rPr/>
            </w:pPr>
            <w:r>
              <w:rPr/>
              <w:t>​</w:t>
            </w:r>
          </w:p>
        </w:tc>
        <w:tc>
          <w:tcPr>
            <w:tcW w:w="657"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43" w:type="dxa"/>
            <w:tcBorders/>
            <w:vAlign w:val="center"/>
          </w:tcPr>
          <w:p>
            <w:pPr>
              <w:pStyle w:val="TableContents"/>
              <w:bidi w:val="0"/>
              <w:spacing w:lineRule="auto" w:line="321" w:before="0" w:after="1"/>
              <w:ind w:left="0" w:right="0" w:hanging="0"/>
              <w:jc w:val="left"/>
              <w:rPr/>
            </w:pPr>
            <w:r>
              <w:rPr/>
              <w:t>​</w:t>
            </w:r>
          </w:p>
        </w:tc>
        <w:tc>
          <w:tcPr>
            <w:tcW w:w="657"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1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92785" cy="175260"/>
                      <wp:effectExtent l="0" t="0" r="0" b="0"/>
                      <wp:wrapNone/>
                      <wp:docPr id="14" name="Frame13"/>
                      <a:graphic xmlns:a="http://schemas.openxmlformats.org/drawingml/2006/main">
                        <a:graphicData uri="http://schemas.microsoft.com/office/word/2010/wordprocessingShape">
                          <wps:wsp>
                            <wps:cNvSpPr txBox="1"/>
                            <wps:spPr>
                              <a:xfrm>
                                <a:off x="0" y="0"/>
                                <a:ext cx="6927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lineRule="auto" w:line="321" w:before="0" w:after="1"/>
              <w:ind w:left="0" w:right="0" w:hanging="0"/>
              <w:jc w:val="left"/>
              <w:rPr/>
            </w:pPr>
            <w:r>
              <w:rPr/>
              <w:t>​</w:t>
            </w:r>
          </w:p>
        </w:tc>
      </w:tr>
      <w:tr>
        <w:trPr/>
        <w:tc>
          <w:tcPr>
            <w:tcW w:w="2345" w:type="dxa"/>
            <w:gridSpan w:val="2"/>
            <w:tcBorders/>
            <w:vAlign w:val="center"/>
          </w:tcPr>
          <w:p>
            <w:pPr>
              <w:pStyle w:val="TableContents"/>
              <w:bidi w:val="0"/>
              <w:spacing w:lineRule="auto" w:line="321" w:before="0" w:after="1"/>
              <w:ind w:left="0" w:right="0" w:hanging="0"/>
              <w:jc w:val="left"/>
              <w:rPr>
                <w:rFonts w:ascii="Segoe UI" w:hAnsi="Segoe UI"/>
                <w:b/>
                <w:sz w:val="16"/>
              </w:rPr>
            </w:pPr>
            <w:r>
              <w:rPr>
                <w:rFonts w:ascii="Segoe UI" w:hAnsi="Segoe UI"/>
                <w:b/>
                <w:sz w:val="16"/>
              </w:rPr>
              <w:t>Average price per unit:</w:t>
            </w:r>
          </w:p>
        </w:tc>
        <w:tc>
          <w:tcPr>
            <w:tcW w:w="900"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Q3 2026</w:t>
            </w:r>
          </w:p>
        </w:tc>
        <w:tc>
          <w:tcPr>
            <w:tcW w:w="109" w:type="dxa"/>
            <w:tcBorders/>
            <w:vAlign w:val="center"/>
          </w:tcPr>
          <w:p>
            <w:pPr>
              <w:pStyle w:val="TableContents"/>
              <w:bidi w:val="0"/>
              <w:spacing w:lineRule="auto" w:line="321" w:before="0" w:after="1"/>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Q3 2025</w:t>
            </w:r>
          </w:p>
        </w:tc>
        <w:tc>
          <w:tcPr>
            <w:tcW w:w="109" w:type="dxa"/>
            <w:tcBorders/>
            <w:vAlign w:val="center"/>
          </w:tcPr>
          <w:p>
            <w:pPr>
              <w:pStyle w:val="TableContents"/>
              <w:bidi w:val="0"/>
              <w:spacing w:lineRule="auto" w:line="321" w:before="0" w:after="1"/>
              <w:ind w:left="0" w:right="0" w:hanging="0"/>
              <w:jc w:val="center"/>
              <w:rPr/>
            </w:pPr>
            <w:r>
              <w:rPr/>
              <w:t>​</w:t>
            </w:r>
          </w:p>
        </w:tc>
        <w:tc>
          <w:tcPr>
            <w:tcW w:w="1965"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 Change vs Q3/Q3</w:t>
            </w:r>
          </w:p>
        </w:tc>
      </w:tr>
      <w:tr>
        <w:trPr/>
        <w:tc>
          <w:tcPr>
            <w:tcW w:w="2236"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Crude oil (BBL)</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43"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5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59.18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43"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5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68.42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0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w:t>
            </w:r>
          </w:p>
        </w:tc>
        <w:tc>
          <w:tcPr>
            <w:tcW w:w="874"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r>
      <w:tr>
        <w:trPr/>
        <w:tc>
          <w:tcPr>
            <w:tcW w:w="2236"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Natural gas (MCF)</w:t>
            </w:r>
          </w:p>
        </w:tc>
        <w:tc>
          <w:tcPr>
            <w:tcW w:w="109" w:type="dxa"/>
            <w:tcBorders/>
            <w:vAlign w:val="center"/>
          </w:tcPr>
          <w:p>
            <w:pPr>
              <w:pStyle w:val="TableContents"/>
              <w:bidi w:val="0"/>
              <w:spacing w:lineRule="auto" w:line="321" w:before="0" w:after="1"/>
              <w:ind w:left="0" w:right="0" w:hanging="0"/>
              <w:jc w:val="left"/>
              <w:rPr/>
            </w:pPr>
            <w:r>
              <w:rPr/>
              <w:t>​</w:t>
            </w:r>
          </w:p>
        </w:tc>
        <w:tc>
          <w:tcPr>
            <w:tcW w:w="243" w:type="dxa"/>
            <w:tcBorders/>
            <w:vAlign w:val="center"/>
          </w:tcPr>
          <w:p>
            <w:pPr>
              <w:pStyle w:val="TableContents"/>
              <w:bidi w:val="0"/>
              <w:spacing w:lineRule="auto" w:line="321" w:before="0" w:after="1"/>
              <w:ind w:left="0" w:right="0" w:hanging="0"/>
              <w:jc w:val="left"/>
              <w:rPr/>
            </w:pPr>
            <w:r>
              <w:rPr/>
              <w:t>​</w:t>
            </w:r>
          </w:p>
        </w:tc>
        <w:tc>
          <w:tcPr>
            <w:tcW w:w="65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3.70</w:t>
            </w:r>
          </w:p>
        </w:tc>
        <w:tc>
          <w:tcPr>
            <w:tcW w:w="109" w:type="dxa"/>
            <w:tcBorders/>
            <w:vAlign w:val="center"/>
          </w:tcPr>
          <w:p>
            <w:pPr>
              <w:pStyle w:val="TableContents"/>
              <w:bidi w:val="0"/>
              <w:spacing w:lineRule="auto" w:line="321" w:before="0" w:after="1"/>
              <w:ind w:left="0" w:right="0" w:hanging="0"/>
              <w:jc w:val="left"/>
              <w:rPr/>
            </w:pPr>
            <w:r>
              <w:rPr/>
              <w:t>​</w:t>
            </w:r>
          </w:p>
        </w:tc>
        <w:tc>
          <w:tcPr>
            <w:tcW w:w="243" w:type="dxa"/>
            <w:tcBorders/>
            <w:vAlign w:val="center"/>
          </w:tcPr>
          <w:p>
            <w:pPr>
              <w:pStyle w:val="TableContents"/>
              <w:bidi w:val="0"/>
              <w:spacing w:lineRule="auto" w:line="321" w:before="0" w:after="1"/>
              <w:ind w:left="0" w:right="0" w:hanging="0"/>
              <w:jc w:val="left"/>
              <w:rPr/>
            </w:pPr>
            <w:r>
              <w:rPr/>
              <w:t>​</w:t>
            </w:r>
          </w:p>
        </w:tc>
        <w:tc>
          <w:tcPr>
            <w:tcW w:w="65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3.87</w:t>
            </w:r>
          </w:p>
        </w:tc>
        <w:tc>
          <w:tcPr>
            <w:tcW w:w="109" w:type="dxa"/>
            <w:tcBorders/>
            <w:vAlign w:val="center"/>
          </w:tcPr>
          <w:p>
            <w:pPr>
              <w:pStyle w:val="TableContents"/>
              <w:bidi w:val="0"/>
              <w:spacing w:lineRule="auto" w:line="321" w:before="0" w:after="1"/>
              <w:ind w:left="0" w:right="0" w:hanging="0"/>
              <w:jc w:val="left"/>
              <w:rPr/>
            </w:pPr>
            <w:r>
              <w:rPr/>
              <w:t>​</w:t>
            </w:r>
          </w:p>
        </w:tc>
        <w:tc>
          <w:tcPr>
            <w:tcW w:w="10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w:t>
            </w:r>
          </w:p>
        </w:tc>
        <w:tc>
          <w:tcPr>
            <w:tcW w:w="874"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r>
      <w:tr>
        <w:trPr/>
        <w:tc>
          <w:tcPr>
            <w:tcW w:w="2236"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Natural Gas Liquids (BBL)</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43" w:type="dxa"/>
            <w:tcBorders/>
            <w:shd w:fill="CCEEFF" w:val="clear"/>
            <w:vAlign w:val="center"/>
          </w:tcPr>
          <w:p>
            <w:pPr>
              <w:pStyle w:val="TableContents"/>
              <w:bidi w:val="0"/>
              <w:spacing w:lineRule="auto" w:line="321" w:before="0" w:after="1"/>
              <w:ind w:left="0" w:right="0" w:hanging="0"/>
              <w:jc w:val="left"/>
              <w:rPr/>
            </w:pPr>
            <w:r>
              <w:rPr/>
              <w:t>​</w:t>
            </w:r>
          </w:p>
        </w:tc>
        <w:tc>
          <w:tcPr>
            <w:tcW w:w="65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24.59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43" w:type="dxa"/>
            <w:tcBorders/>
            <w:shd w:fill="CCEEFF" w:val="clear"/>
            <w:vAlign w:val="center"/>
          </w:tcPr>
          <w:p>
            <w:pPr>
              <w:pStyle w:val="TableContents"/>
              <w:bidi w:val="0"/>
              <w:spacing w:lineRule="auto" w:line="321" w:before="0" w:after="1"/>
              <w:ind w:left="0" w:right="0" w:hanging="0"/>
              <w:jc w:val="left"/>
              <w:rPr/>
            </w:pPr>
            <w:r>
              <w:rPr/>
              <w:t>​</w:t>
            </w:r>
          </w:p>
        </w:tc>
        <w:tc>
          <w:tcPr>
            <w:tcW w:w="65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32.28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0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w:t>
            </w:r>
          </w:p>
        </w:tc>
        <w:tc>
          <w:tcPr>
            <w:tcW w:w="874"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r>
      <w:tr>
        <w:trPr/>
        <w:tc>
          <w:tcPr>
            <w:tcW w:w="2236"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Equivalent (BOE)</w:t>
            </w:r>
          </w:p>
        </w:tc>
        <w:tc>
          <w:tcPr>
            <w:tcW w:w="109" w:type="dxa"/>
            <w:tcBorders/>
            <w:vAlign w:val="center"/>
          </w:tcPr>
          <w:p>
            <w:pPr>
              <w:pStyle w:val="TableContents"/>
              <w:bidi w:val="0"/>
              <w:spacing w:lineRule="auto" w:line="321" w:before="0" w:after="1"/>
              <w:ind w:left="0" w:right="0" w:hanging="0"/>
              <w:jc w:val="left"/>
              <w:rPr/>
            </w:pPr>
            <w:r>
              <w:rPr/>
              <w:t>​</w:t>
            </w:r>
          </w:p>
        </w:tc>
        <w:tc>
          <w:tcPr>
            <w:tcW w:w="243" w:type="dxa"/>
            <w:tcBorders/>
            <w:vAlign w:val="center"/>
          </w:tcPr>
          <w:p>
            <w:pPr>
              <w:pStyle w:val="TableContents"/>
              <w:bidi w:val="0"/>
              <w:spacing w:lineRule="auto" w:line="321" w:before="0" w:after="1"/>
              <w:ind w:left="0" w:right="0" w:hanging="0"/>
              <w:jc w:val="left"/>
              <w:rPr/>
            </w:pPr>
            <w:r>
              <w:rPr/>
              <w:t>​</w:t>
            </w:r>
          </w:p>
        </w:tc>
        <w:tc>
          <w:tcPr>
            <w:tcW w:w="65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33.45</w:t>
            </w:r>
          </w:p>
        </w:tc>
        <w:tc>
          <w:tcPr>
            <w:tcW w:w="109" w:type="dxa"/>
            <w:tcBorders/>
            <w:vAlign w:val="center"/>
          </w:tcPr>
          <w:p>
            <w:pPr>
              <w:pStyle w:val="TableContents"/>
              <w:bidi w:val="0"/>
              <w:spacing w:lineRule="auto" w:line="321" w:before="0" w:after="1"/>
              <w:ind w:left="0" w:right="0" w:hanging="0"/>
              <w:jc w:val="left"/>
              <w:rPr/>
            </w:pPr>
            <w:r>
              <w:rPr/>
              <w:t>​</w:t>
            </w:r>
          </w:p>
        </w:tc>
        <w:tc>
          <w:tcPr>
            <w:tcW w:w="243" w:type="dxa"/>
            <w:tcBorders/>
            <w:vAlign w:val="center"/>
          </w:tcPr>
          <w:p>
            <w:pPr>
              <w:pStyle w:val="TableContents"/>
              <w:bidi w:val="0"/>
              <w:spacing w:lineRule="auto" w:line="321" w:before="0" w:after="1"/>
              <w:ind w:left="0" w:right="0" w:hanging="0"/>
              <w:jc w:val="left"/>
              <w:rPr/>
            </w:pPr>
            <w:r>
              <w:rPr/>
              <w:t>​</w:t>
            </w:r>
          </w:p>
        </w:tc>
        <w:tc>
          <w:tcPr>
            <w:tcW w:w="65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37.60</w:t>
            </w:r>
          </w:p>
        </w:tc>
        <w:tc>
          <w:tcPr>
            <w:tcW w:w="109" w:type="dxa"/>
            <w:tcBorders/>
            <w:vAlign w:val="center"/>
          </w:tcPr>
          <w:p>
            <w:pPr>
              <w:pStyle w:val="TableContents"/>
              <w:bidi w:val="0"/>
              <w:spacing w:lineRule="auto" w:line="321" w:before="0" w:after="1"/>
              <w:ind w:left="0" w:right="0" w:hanging="0"/>
              <w:jc w:val="left"/>
              <w:rPr/>
            </w:pPr>
            <w:r>
              <w:rPr/>
              <w:t>​</w:t>
            </w:r>
          </w:p>
        </w:tc>
        <w:tc>
          <w:tcPr>
            <w:tcW w:w="10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w:t>
            </w:r>
          </w:p>
        </w:tc>
        <w:tc>
          <w:tcPr>
            <w:tcW w:w="874"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r>
    </w:tbl>
    <w:p>
      <w:pPr>
        <w:pStyle w:val="TextBody"/>
        <w:bidi w:val="0"/>
        <w:spacing w:lineRule="auto" w:line="321" w:before="0" w:after="0"/>
        <w:ind w:left="0" w:right="0" w:hanging="0"/>
        <w:jc w:val="left"/>
        <w:rPr/>
      </w:pPr>
      <w:r>
        <w:rPr/>
        <w:t>​</w:t>
      </w:r>
    </w:p>
    <w:p>
      <w:pPr>
        <w:pStyle w:val="TextBody"/>
        <w:bidi w:val="0"/>
        <w:spacing w:lineRule="auto" w:line="321" w:before="0" w:after="0"/>
        <w:ind w:left="0" w:right="0" w:hanging="0"/>
        <w:jc w:val="left"/>
        <w:rPr>
          <w:rFonts w:ascii="Segoe UI" w:hAnsi="Segoe UI"/>
          <w:sz w:val="22"/>
        </w:rPr>
      </w:pPr>
      <w:r>
        <w:rPr>
          <w:rFonts w:ascii="Segoe UI" w:hAnsi="Segoe UI"/>
          <w:sz w:val="22"/>
        </w:rPr>
        <w:t>Total production for the third quarter of fiscal 2026 increased slightly to 6,700 net BOEPD compared to 6,667 net BOEPD in the year-ago period. Total production for the third quarter of fiscal 2026 included approximately 1,967 barrels per day (“BOPD”) of crude oil, 3,644 BOEPD of natural gas, and 1,089 BOEPD of NGLs. The change in total production was primarily driven by production adds from the Company’s SCOOP/STACK Minerals Acquisition in August 2025 and TexMex Acquisition in April 2025, partially offset by downtime at other fields. In January 2026, multiple fields were impacted by heavy ice storms and power outages, resulting in production shutdowns for multiple days.</w:t>
      </w:r>
    </w:p>
    <w:p>
      <w:pPr>
        <w:pStyle w:val="TextBody"/>
        <w:bidi w:val="0"/>
        <w:spacing w:lineRule="auto" w:line="304" w:before="100" w:after="100"/>
        <w:ind w:left="0" w:right="0" w:hanging="0"/>
        <w:jc w:val="both"/>
        <w:rPr>
          <w:rFonts w:ascii="Segoe UI" w:hAnsi="Segoe UI"/>
          <w:sz w:val="22"/>
        </w:rPr>
      </w:pPr>
      <w:r>
        <w:rPr>
          <w:rFonts w:ascii="Segoe UI" w:hAnsi="Segoe UI"/>
          <w:sz w:val="22"/>
        </w:rPr>
        <w:t>The Company’s average realized commodity price (excluding the impact of derivative contracts) decreased to $33.45 per BOE in fiscal Q3, compared to $37.60 per BOE in the year-ago period. The aforementioned Delhi prior-period adjustments reduced the Company’s average realized equivalent price for the quarter by approximately $1.90 per BOE. Compared with the prior-year period, unfavorable gas differentials at Jonah and Barnett reduced the Company’s average realized equivalent price for the quarter by approximately $3.39 per BOE.</w:t>
      </w:r>
    </w:p>
    <w:p>
      <w:pPr>
        <w:pStyle w:val="TextBody"/>
        <w:bidi w:val="0"/>
        <w:spacing w:lineRule="auto" w:line="307" w:before="200" w:after="60"/>
        <w:ind w:left="0" w:right="0" w:hanging="0"/>
        <w:jc w:val="left"/>
        <w:rPr>
          <w:rFonts w:ascii="Segoe UI Semibold" w:hAnsi="Segoe UI Semibold"/>
          <w:b/>
          <w:sz w:val="22"/>
        </w:rPr>
      </w:pPr>
      <w:r>
        <w:rPr>
          <w:rFonts w:ascii="Segoe UI Semibold" w:hAnsi="Segoe UI Semibold"/>
          <w:b/>
          <w:sz w:val="22"/>
        </w:rPr>
        <w:t>Operations Update</w:t>
      </w:r>
    </w:p>
    <w:p>
      <w:pPr>
        <w:pStyle w:val="TextBody"/>
        <w:bidi w:val="0"/>
        <w:spacing w:lineRule="auto" w:line="321" w:before="0" w:after="100"/>
        <w:ind w:left="0" w:right="0" w:hanging="0"/>
        <w:jc w:val="both"/>
        <w:rPr>
          <w:rFonts w:ascii="Segoe UI" w:hAnsi="Segoe UI"/>
          <w:sz w:val="22"/>
        </w:rPr>
      </w:pPr>
      <w:r>
        <w:rPr>
          <w:rFonts w:ascii="Segoe UI" w:hAnsi="Segoe UI"/>
          <w:sz w:val="22"/>
        </w:rPr>
        <w:t>The Company continued to expand its mineral and royalty position, completing two mineral acreage acquisitions in the Haynesville and Bossier Shales in Louisiana during fiscal Q3, following two similar acquisitions completed in fiscal Q2. The Company’s mineral acquisitions prioritize placing value on wells that are either currently producing or are expected to be producing within one year of purchase. We expect 23 wells to be brought online and meaningfully contribute to revenue and cash flow in the fiscal fourth quarter.</w:t>
      </w:r>
    </w:p>
    <w:p>
      <w:pPr>
        <w:pStyle w:val="TextBody"/>
        <w:bidi w:val="0"/>
        <w:spacing w:lineRule="auto" w:line="316" w:before="100" w:after="100"/>
        <w:ind w:left="0" w:right="0" w:hanging="0"/>
        <w:jc w:val="both"/>
        <w:rPr>
          <w:rFonts w:ascii="Segoe UI" w:hAnsi="Segoe UI"/>
          <w:sz w:val="22"/>
        </w:rPr>
      </w:pPr>
      <w:r>
        <w:rPr>
          <w:rFonts w:ascii="Segoe UI" w:hAnsi="Segoe UI"/>
          <w:sz w:val="22"/>
        </w:rPr>
        <w:t xml:space="preserve">At SCOOP/STACK, quarterly production was impacted by 64 BOEPD due to the winter storm in January. Additionally, there are 7 gross wells in progress and 12 gross wells on production that we are still waiting for first production data and revenue. Production from mineral and royalty interests acquired in August 2025 continued to contribute to overall volumes during the quarter, leading to a material increase of 27% in production and 24% decrease in LOE per BOE during the current fiscal quarter compared to the prior-year quarter. </w:t>
      </w:r>
    </w:p>
    <w:p>
      <w:pPr>
        <w:pStyle w:val="TextBody"/>
        <w:bidi w:val="0"/>
        <w:spacing w:lineRule="auto" w:line="321" w:before="100" w:after="100"/>
        <w:ind w:left="0" w:right="0" w:hanging="0"/>
        <w:jc w:val="left"/>
        <w:rPr>
          <w:rFonts w:ascii="Segoe UI" w:hAnsi="Segoe UI"/>
          <w:sz w:val="22"/>
        </w:rPr>
      </w:pPr>
      <w:r>
        <w:rPr>
          <w:rFonts w:ascii="Segoe UI" w:hAnsi="Segoe UI"/>
          <w:sz w:val="22"/>
        </w:rPr>
        <w:t>At Chaveroo, the January winter storm and gas interference on an ESP affected production by 30 net BOEPD for the quarter. Subsequent to quarter-end, we converted that well from ESP to a rod pump, and all but one of our 7 wells have now been converted to rod pumps. The Company expects to secure permits for its next drilling block, comprising six gross wells, before the end of the 4</w:t>
      </w:r>
      <w:r>
        <w:rPr>
          <w:rFonts w:ascii="Segoe UI" w:hAnsi="Segoe UI"/>
          <w:sz w:val="17"/>
        </w:rPr>
        <w:t>th</w:t>
      </w:r>
      <w:r>
        <w:rPr>
          <w:rFonts w:ascii="Segoe UI" w:hAnsi="Segoe UI"/>
          <w:sz w:val="22"/>
        </w:rPr>
        <w:t xml:space="preserve"> fiscal quarter.</w:t>
      </w:r>
    </w:p>
    <w:p>
      <w:pPr>
        <w:pStyle w:val="TextBody"/>
        <w:bidi w:val="0"/>
        <w:spacing w:lineRule="auto" w:line="316" w:before="100" w:after="0"/>
        <w:ind w:left="0" w:right="0" w:hanging="0"/>
        <w:jc w:val="both"/>
        <w:rPr>
          <w:rFonts w:ascii="Segoe UI" w:hAnsi="Segoe UI"/>
          <w:sz w:val="22"/>
        </w:rPr>
      </w:pPr>
      <w:r>
        <w:rPr>
          <w:rFonts w:ascii="Segoe UI" w:hAnsi="Segoe UI"/>
          <w:sz w:val="22"/>
        </w:rPr>
        <w:t xml:space="preserve">At TexMex, oil production increased quarter over quarter due to a successful workover program at the end of the prior quarter. However, January winter storms not only impacted production but also caused </w:t>
      </w:r>
    </w:p>
    <w:p>
      <w:pPr>
        <w:pStyle w:val="TextBody"/>
        <w:bidi w:val="0"/>
        <w:spacing w:lineRule="auto" w:line="285" w:before="0" w:after="0"/>
        <w:ind w:left="0" w:right="0" w:hanging="0"/>
        <w:jc w:val="center"/>
        <w:rPr>
          <w:rFonts w:ascii="Segoe UI" w:hAnsi="Segoe UI"/>
          <w:sz w:val="22"/>
        </w:rPr>
      </w:pPr>
      <w:r>
        <w:rPr>
          <w:rFonts w:ascii="Segoe UI" w:hAnsi="Segoe UI"/>
          <w:sz w:val="22"/>
        </w:rPr>
        <w:t>4</w:t>
      </w:r>
    </w:p>
    <w:p>
      <w:pPr>
        <w:pStyle w:val="HorizontalLine"/>
        <w:pBdr>
          <w:bottom w:val="double" w:sz="2" w:space="0" w:color="808080"/>
        </w:pBdr>
        <w:bidi w:val="0"/>
        <w:spacing w:before="0" w:after="283"/>
        <w:jc w:val="left"/>
        <w:rPr/>
      </w:pPr>
      <w:r>
        <w:rPr/>
      </w:r>
    </w:p>
    <w:p>
      <w:pPr>
        <w:pStyle w:val="TextBody"/>
        <w:bidi w:val="0"/>
        <w:spacing w:lineRule="auto" w:line="316" w:before="0" w:after="100"/>
        <w:ind w:left="0" w:right="0" w:hanging="0"/>
        <w:jc w:val="both"/>
        <w:rPr>
          <w:rFonts w:ascii="Segoe UI" w:hAnsi="Segoe UI"/>
          <w:sz w:val="22"/>
        </w:rPr>
      </w:pPr>
      <w:r>
        <w:rPr>
          <w:rFonts w:ascii="Segoe UI" w:hAnsi="Segoe UI"/>
          <w:sz w:val="22"/>
        </w:rPr>
        <w:t>power outages and surface equipment damage that required repairs. This led to higher expenses in the quarter. We expect TexMex to continue to improve substantially. Subsequent to quarter-end, we began a new workover program, which we expect will increase production by an additional 100 net BOEPD by the end of fiscal Q4.</w:t>
      </w:r>
    </w:p>
    <w:p>
      <w:pPr>
        <w:pStyle w:val="TextBody"/>
        <w:bidi w:val="0"/>
        <w:spacing w:lineRule="auto" w:line="316" w:before="100" w:after="100"/>
        <w:ind w:left="0" w:right="0" w:hanging="0"/>
        <w:jc w:val="both"/>
        <w:rPr>
          <w:rFonts w:ascii="Segoe UI" w:hAnsi="Segoe UI"/>
          <w:sz w:val="22"/>
        </w:rPr>
      </w:pPr>
      <w:r>
        <w:rPr>
          <w:rFonts w:ascii="Segoe UI" w:hAnsi="Segoe UI"/>
          <w:sz w:val="22"/>
        </w:rPr>
        <w:t>At the Williston Basin, production was down 32 BOEPD, due to downtime caused by the January winter storm and delays in crude oil trucking. Operations were quickly restored, and the field runtimes remain strong.</w:t>
      </w:r>
    </w:p>
    <w:p>
      <w:pPr>
        <w:pStyle w:val="TextBody"/>
        <w:bidi w:val="0"/>
        <w:spacing w:lineRule="auto" w:line="316" w:before="100" w:after="100"/>
        <w:ind w:left="0" w:right="0" w:hanging="0"/>
        <w:jc w:val="both"/>
        <w:rPr>
          <w:rFonts w:ascii="Segoe UI" w:hAnsi="Segoe UI"/>
          <w:sz w:val="22"/>
        </w:rPr>
      </w:pPr>
      <w:r>
        <w:rPr>
          <w:rFonts w:ascii="Segoe UI" w:hAnsi="Segoe UI"/>
          <w:sz w:val="22"/>
        </w:rPr>
        <w:t>At Barnett, quarterly production was heavily impacted by the winter storm, resulting in a decline of approximately 160 BOEPD. The impacts carried into February and were restored by March.</w:t>
      </w:r>
    </w:p>
    <w:p>
      <w:pPr>
        <w:pStyle w:val="TextBody"/>
        <w:bidi w:val="0"/>
        <w:spacing w:lineRule="auto" w:line="316" w:before="100" w:after="100"/>
        <w:ind w:left="0" w:right="0" w:hanging="0"/>
        <w:jc w:val="both"/>
        <w:rPr>
          <w:rFonts w:ascii="Segoe UI" w:hAnsi="Segoe UI"/>
          <w:sz w:val="22"/>
        </w:rPr>
      </w:pPr>
      <w:r>
        <w:rPr>
          <w:rFonts w:ascii="Segoe UI" w:hAnsi="Segoe UI"/>
          <w:sz w:val="22"/>
        </w:rPr>
        <w:t xml:space="preserve">At Delhi, the January winter storm outages impacted production for 6 days during the quarter. The CO₂ recycle compressor, which was down for most of the prior quarter, remained down for 40 days during fiscal Q3, negatively affecting production. These issues were resolved during the quarter, and we expect to see the benefits of a return to normal run times and restoring full CO₂ recycle capacity moving forward. </w:t>
      </w:r>
    </w:p>
    <w:p>
      <w:pPr>
        <w:pStyle w:val="TextBody"/>
        <w:bidi w:val="0"/>
        <w:spacing w:lineRule="auto" w:line="307" w:before="200" w:after="60"/>
        <w:ind w:left="0" w:right="0" w:hanging="0"/>
        <w:jc w:val="left"/>
        <w:rPr>
          <w:rFonts w:ascii="Segoe UI Semibold" w:hAnsi="Segoe UI Semibold"/>
          <w:b/>
          <w:sz w:val="22"/>
        </w:rPr>
      </w:pPr>
      <w:r>
        <w:rPr>
          <w:rFonts w:ascii="Segoe UI Semibold" w:hAnsi="Segoe UI Semibold"/>
          <w:b/>
          <w:sz w:val="22"/>
        </w:rPr>
        <w:t>Balance Sheet, Liquidity, and Capital Spending</w:t>
      </w:r>
    </w:p>
    <w:p>
      <w:pPr>
        <w:pStyle w:val="TextBody"/>
        <w:bidi w:val="0"/>
        <w:spacing w:lineRule="auto" w:line="316" w:before="100" w:after="100"/>
        <w:ind w:left="0" w:right="0" w:hanging="0"/>
        <w:jc w:val="both"/>
        <w:rPr>
          <w:rFonts w:ascii="Segoe UI" w:hAnsi="Segoe UI"/>
          <w:sz w:val="22"/>
        </w:rPr>
      </w:pPr>
      <w:r>
        <w:rPr>
          <w:rFonts w:ascii="Segoe UI" w:hAnsi="Segoe UI"/>
          <w:sz w:val="22"/>
        </w:rPr>
        <w:t>On March 31, 2026, the Company had cash and cash equivalents of $2.6 million, outstanding borrowings of $56.5 million, and $0.8 million in letters of credit outstanding under its Senior Secured Credit Facility, and a weighted average interest rate of 6.78%. Availability under the facility was $7.7 million, bringing total liquidity to $10.4 million. In the third quarter of fiscal 2026, Evolution paid $4.3 million in common stock dividends and incurred $1.6 million in capital expenditures. Evolution also deployed capital on royalty and minerals acquisitions in Louisiana. These cash outlays were partially offset by cash received from its SCOOP/STACK Minerals Acquisition due to purchase price adjustments associated with net cash flows between the effective date and closing date. Evolution also received net proceeds of $3.6 million, net of $0.1 million of offering costs paid, from the sale of shares of common stock under its At-The-Market equity sales agreement. The Company had total net cash provided by operating activities of $3.5 million for the quarter.</w:t>
      </w:r>
    </w:p>
    <w:p>
      <w:pPr>
        <w:pStyle w:val="TextBody"/>
        <w:bidi w:val="0"/>
        <w:spacing w:lineRule="auto" w:line="307" w:before="200" w:after="60"/>
        <w:ind w:left="0" w:right="0" w:hanging="0"/>
        <w:jc w:val="left"/>
        <w:rPr>
          <w:rFonts w:ascii="Segoe UI Semibold" w:hAnsi="Segoe UI Semibold"/>
          <w:b/>
          <w:sz w:val="22"/>
        </w:rPr>
      </w:pPr>
      <w:r>
        <w:rPr>
          <w:rFonts w:ascii="Segoe UI Semibold" w:hAnsi="Segoe UI Semibold"/>
          <w:b/>
          <w:sz w:val="22"/>
        </w:rPr>
        <w:t>Cash Dividend on Common Stock</w:t>
      </w:r>
    </w:p>
    <w:p>
      <w:pPr>
        <w:pStyle w:val="TextBody"/>
        <w:bidi w:val="0"/>
        <w:spacing w:lineRule="auto" w:line="321" w:before="0" w:after="100"/>
        <w:ind w:left="0" w:right="0" w:hanging="0"/>
        <w:jc w:val="both"/>
        <w:rPr>
          <w:rFonts w:ascii="Segoe UI" w:hAnsi="Segoe UI"/>
          <w:sz w:val="22"/>
        </w:rPr>
      </w:pPr>
      <w:r>
        <w:rPr>
          <w:rFonts w:ascii="Segoe UI" w:hAnsi="Segoe UI"/>
          <w:sz w:val="22"/>
        </w:rPr>
        <w:t xml:space="preserve">On May </w:t>
      </w:r>
      <w:r>
        <w:rPr>
          <w:rFonts w:ascii="Segoe UI Symbol" w:hAnsi="Segoe UI Symbol"/>
          <w:sz w:val="22"/>
        </w:rPr>
        <w:t>11,</w:t>
      </w:r>
      <w:r>
        <w:rPr>
          <w:rFonts w:ascii="Segoe UI" w:hAnsi="Segoe UI"/>
          <w:sz w:val="22"/>
        </w:rPr>
        <w:t xml:space="preserve"> 2026, Evolution's Board of Directors declared a cash dividend of $0.12 per share of common stock, payable on June 30, 2026, to common stockholders of record on June </w:t>
      </w:r>
      <w:r>
        <w:rPr>
          <w:rFonts w:ascii="Segoe UI Symbol" w:hAnsi="Segoe UI Symbol"/>
          <w:sz w:val="22"/>
        </w:rPr>
        <w:t>15</w:t>
      </w:r>
      <w:r>
        <w:rPr>
          <w:rFonts w:ascii="Segoe UI" w:hAnsi="Segoe UI"/>
          <w:sz w:val="22"/>
        </w:rPr>
        <w:t>, 2026. This will be the 51</w:t>
      </w:r>
      <w:r>
        <w:rPr>
          <w:rFonts w:ascii="Segoe UI" w:hAnsi="Segoe UI"/>
          <w:sz w:val="17"/>
        </w:rPr>
        <w:t>st</w:t>
      </w:r>
      <w:r>
        <w:rPr>
          <w:rFonts w:ascii="Segoe UI" w:hAnsi="Segoe UI"/>
          <w:sz w:val="22"/>
        </w:rPr>
        <w:t xml:space="preserve"> consecutive quarterly cash dividend on the Company's common stock since December 31, 2013. To date, Evolution has returned approximately $147.4 million, or $4.41 per share, back to stockholders in common stock dividends.</w:t>
      </w:r>
    </w:p>
    <w:p>
      <w:pPr>
        <w:pStyle w:val="TextBody"/>
        <w:bidi w:val="0"/>
        <w:spacing w:lineRule="auto" w:line="321" w:before="0" w:after="0"/>
        <w:ind w:left="0" w:right="0" w:hanging="0"/>
        <w:jc w:val="left"/>
        <w:rPr/>
      </w:pPr>
      <w:r>
        <w:rPr/>
        <w:t>​</w:t>
      </w:r>
    </w:p>
    <w:p>
      <w:pPr>
        <w:pStyle w:val="TextBody"/>
        <w:bidi w:val="0"/>
        <w:spacing w:lineRule="auto" w:line="285" w:before="0" w:after="0"/>
        <w:ind w:left="0" w:right="0" w:hanging="0"/>
        <w:jc w:val="center"/>
        <w:rPr>
          <w:rFonts w:ascii="Segoe UI" w:hAnsi="Segoe UI"/>
          <w:sz w:val="22"/>
        </w:rPr>
      </w:pPr>
      <w:r>
        <w:rPr>
          <w:rFonts w:ascii="Segoe UI" w:hAnsi="Segoe UI"/>
          <w:sz w:val="22"/>
        </w:rPr>
        <w:t>5</w:t>
      </w:r>
    </w:p>
    <w:p>
      <w:pPr>
        <w:pStyle w:val="HorizontalLine"/>
        <w:pBdr>
          <w:bottom w:val="double" w:sz="2" w:space="0" w:color="808080"/>
        </w:pBdr>
        <w:bidi w:val="0"/>
        <w:spacing w:before="0" w:after="283"/>
        <w:jc w:val="left"/>
        <w:rPr/>
      </w:pPr>
      <w:r>
        <w:rPr/>
      </w:r>
    </w:p>
    <w:p>
      <w:pPr>
        <w:pStyle w:val="TextBody"/>
        <w:bidi w:val="0"/>
        <w:spacing w:lineRule="auto" w:line="307" w:before="0" w:after="60"/>
        <w:ind w:left="0" w:right="0" w:hanging="0"/>
        <w:jc w:val="left"/>
        <w:rPr>
          <w:rFonts w:ascii="Segoe UI Semibold" w:hAnsi="Segoe UI Semibold"/>
          <w:b/>
          <w:sz w:val="22"/>
        </w:rPr>
      </w:pPr>
      <w:r>
        <w:rPr>
          <w:rFonts w:ascii="Segoe UI Semibold" w:hAnsi="Segoe UI Semibold"/>
          <w:b/>
          <w:sz w:val="22"/>
        </w:rPr>
        <w:t>Conference Call</w:t>
      </w:r>
    </w:p>
    <w:p>
      <w:pPr>
        <w:pStyle w:val="TextBody"/>
        <w:bidi w:val="0"/>
        <w:spacing w:lineRule="auto" w:line="321" w:before="0" w:after="100"/>
        <w:ind w:left="0" w:right="0" w:hanging="0"/>
        <w:jc w:val="both"/>
        <w:rPr>
          <w:rFonts w:ascii="Segoe UI" w:hAnsi="Segoe UI"/>
          <w:sz w:val="22"/>
        </w:rPr>
      </w:pPr>
      <w:r>
        <w:rPr>
          <w:rFonts w:ascii="Segoe UI" w:hAnsi="Segoe UI"/>
          <w:sz w:val="22"/>
        </w:rPr>
        <w:t>As previously announced, Evolution Petroleum will host a conference call on Wednesday, May 13, 2026, at 10:00 a.m. CT to review its fiscal third quarter 2026 financial and operating results. Participants can join online at https://event.choruscall.com/mediaframe/webcast.html?webcastid=wK31ZL1A or by dialing (844) 481-2813. Dial-in participants should ask to join the Evolution Petroleum Corporation call. A replay will be available through May 13, 2027, via the provided webcast link and on Evolution's Investor Relations website at www.ir.evolutionpetroleum.com</w:t>
      </w:r>
      <w:r>
        <w:rPr>
          <w:rFonts w:ascii="Segoe UI" w:hAnsi="Segoe UI"/>
          <w:color w:val="0563C1"/>
          <w:sz w:val="22"/>
          <w:u w:val="single"/>
        </w:rPr>
        <w:t>.</w:t>
      </w:r>
    </w:p>
    <w:p>
      <w:pPr>
        <w:pStyle w:val="TextBody"/>
        <w:bidi w:val="0"/>
        <w:spacing w:lineRule="auto" w:line="307" w:before="200" w:after="60"/>
        <w:ind w:left="0" w:right="0" w:hanging="0"/>
        <w:jc w:val="left"/>
        <w:rPr>
          <w:rFonts w:ascii="Segoe UI Semibold" w:hAnsi="Segoe UI Semibold"/>
          <w:b/>
          <w:sz w:val="22"/>
        </w:rPr>
      </w:pPr>
      <w:r>
        <w:rPr>
          <w:rFonts w:ascii="Segoe UI Semibold" w:hAnsi="Segoe UI Semibold"/>
          <w:b/>
          <w:sz w:val="22"/>
        </w:rPr>
        <w:t>About Evolution Petroleum</w:t>
      </w:r>
    </w:p>
    <w:p>
      <w:pPr>
        <w:pStyle w:val="TextBody"/>
        <w:bidi w:val="0"/>
        <w:spacing w:lineRule="auto" w:line="321" w:before="0" w:after="100"/>
        <w:ind w:left="0" w:right="0" w:hanging="0"/>
        <w:jc w:val="both"/>
        <w:rPr>
          <w:rFonts w:ascii="Segoe UI" w:hAnsi="Segoe UI"/>
          <w:sz w:val="22"/>
        </w:rPr>
      </w:pPr>
      <w:r>
        <w:rPr>
          <w:rFonts w:ascii="Segoe UI" w:hAnsi="Segoe UI"/>
          <w:sz w:val="22"/>
        </w:rPr>
        <w:t>Evolution Petroleum Corporation is an independent energy company focused on maximizing total shareholder returns through the ownership of and investment in onshore oil and natural gas properties in the U.S. The Company aims to build and maintain a diversified portfolio of long-life oil and natural gas properties through acquisitions, selective development opportunities, production enhancements, and other exploitation efforts. Visit www.evolutionpetroleum.com for more information.</w:t>
      </w:r>
    </w:p>
    <w:p>
      <w:pPr>
        <w:pStyle w:val="TextBody"/>
        <w:bidi w:val="0"/>
        <w:spacing w:lineRule="auto" w:line="307" w:before="200" w:after="60"/>
        <w:ind w:left="0" w:right="0" w:hanging="0"/>
        <w:jc w:val="left"/>
        <w:rPr>
          <w:rFonts w:ascii="Segoe UI Semibold" w:hAnsi="Segoe UI Semibold"/>
          <w:b/>
          <w:sz w:val="22"/>
        </w:rPr>
      </w:pPr>
      <w:r>
        <w:rPr>
          <w:rFonts w:ascii="Segoe UI Semibold" w:hAnsi="Segoe UI Semibold"/>
          <w:b/>
          <w:sz w:val="22"/>
        </w:rPr>
        <w:t>Cautionary Statement</w:t>
      </w:r>
    </w:p>
    <w:p>
      <w:pPr>
        <w:pStyle w:val="TextBody"/>
        <w:bidi w:val="0"/>
        <w:spacing w:lineRule="auto" w:line="321" w:before="0" w:after="100"/>
        <w:ind w:left="0" w:right="0" w:hanging="0"/>
        <w:jc w:val="both"/>
        <w:rPr>
          <w:rFonts w:ascii="Segoe UI" w:hAnsi="Segoe UI"/>
          <w:sz w:val="22"/>
        </w:rPr>
      </w:pPr>
      <w:r>
        <w:rPr>
          <w:rFonts w:ascii="Segoe UI" w:hAnsi="Segoe UI"/>
          <w:sz w:val="22"/>
        </w:rPr>
        <w:t>All forward-looking statements contained in this press release regarding the Company's current and future expectations, potential results, and plans and objectives involve a wide range of risks and uncertainties. Statements herein using words such as "anticipate," "believe," "expect," "may," "plans," "outlook," "should," "will," and words of similar meaning are forward-looking statements. Although the Company's expectations are based on business, engineering, geological, financial, and operating assumptions that it believes to be reasonable, many factors could cause actual results to differ materially from its expectations. The Company gives no assurance that its goals will be achieved. These factors and others are detailed under the heading "Risk Factors" and elsewhere in our periodic reports filed with the Securities and Exchange Commission ("SEC"). The Company undertakes no obligation to update any forward-looking statement.</w:t>
      </w:r>
    </w:p>
    <w:p>
      <w:pPr>
        <w:pStyle w:val="TextBody"/>
        <w:bidi w:val="0"/>
        <w:spacing w:lineRule="auto" w:line="307" w:before="200" w:after="60"/>
        <w:ind w:left="0" w:right="0" w:hanging="0"/>
        <w:jc w:val="left"/>
        <w:rPr>
          <w:rFonts w:ascii="Segoe UI Semibold" w:hAnsi="Segoe UI Semibold"/>
          <w:b/>
          <w:sz w:val="22"/>
        </w:rPr>
      </w:pPr>
      <w:r>
        <w:rPr>
          <w:rFonts w:ascii="Segoe UI Semibold" w:hAnsi="Segoe UI Semibold"/>
          <w:b/>
          <w:sz w:val="22"/>
        </w:rPr>
        <w:t>Contact</w:t>
      </w:r>
    </w:p>
    <w:p>
      <w:pPr>
        <w:pStyle w:val="TextBody"/>
        <w:bidi w:val="0"/>
        <w:spacing w:lineRule="auto" w:line="321" w:before="0" w:after="0"/>
        <w:ind w:left="0" w:right="0" w:hanging="0"/>
        <w:jc w:val="left"/>
        <w:rPr>
          <w:rFonts w:ascii="Segoe UI" w:hAnsi="Segoe UI"/>
          <w:sz w:val="22"/>
        </w:rPr>
      </w:pPr>
      <w:r>
        <w:rPr>
          <w:rFonts w:ascii="Segoe UI" w:hAnsi="Segoe UI"/>
          <w:sz w:val="22"/>
        </w:rPr>
        <w:t>Investor Relations</w:t>
      </w:r>
    </w:p>
    <w:p>
      <w:pPr>
        <w:pStyle w:val="TextBody"/>
        <w:bidi w:val="0"/>
        <w:spacing w:lineRule="auto" w:line="321" w:before="0" w:after="0"/>
        <w:ind w:left="0" w:right="0" w:hanging="0"/>
        <w:jc w:val="left"/>
        <w:rPr>
          <w:rFonts w:ascii="Segoe UI" w:hAnsi="Segoe UI"/>
          <w:sz w:val="22"/>
        </w:rPr>
      </w:pPr>
      <w:r>
        <w:rPr>
          <w:rFonts w:ascii="Segoe UI" w:hAnsi="Segoe UI"/>
          <w:sz w:val="22"/>
        </w:rPr>
        <w:t>(713) 935-0122</w:t>
      </w:r>
    </w:p>
    <w:p>
      <w:pPr>
        <w:pStyle w:val="TextBody"/>
        <w:bidi w:val="0"/>
        <w:spacing w:lineRule="auto" w:line="321" w:before="0" w:after="0"/>
        <w:ind w:left="0" w:right="0" w:hanging="0"/>
        <w:jc w:val="left"/>
        <w:rPr>
          <w:rFonts w:ascii="Segoe UI" w:hAnsi="Segoe UI"/>
          <w:sz w:val="22"/>
        </w:rPr>
      </w:pPr>
      <w:r>
        <w:rPr>
          <w:rFonts w:ascii="Times New Roman;Times;serif" w:hAnsi="Times New Roman;Times;serif"/>
          <w:sz w:val="22"/>
        </w:rPr>
        <w:t>ir@evolutionpetroleum.com</w:t>
      </w:r>
      <w:r>
        <w:rPr>
          <w:rFonts w:ascii="Segoe UI" w:hAnsi="Segoe UI"/>
          <w:color w:val="0563C1"/>
          <w:sz w:val="22"/>
          <w:u w:val="single"/>
        </w:rPr>
        <w:t xml:space="preserve"> </w:t>
      </w:r>
    </w:p>
    <w:p>
      <w:pPr>
        <w:pStyle w:val="TextBody"/>
        <w:bidi w:val="0"/>
        <w:spacing w:lineRule="auto" w:line="321" w:before="0" w:after="0"/>
        <w:ind w:left="0" w:right="0" w:hanging="0"/>
        <w:jc w:val="left"/>
        <w:rPr/>
      </w:pPr>
      <w:r>
        <w:rPr/>
        <w:t>​</w:t>
      </w:r>
    </w:p>
    <w:p>
      <w:pPr>
        <w:pStyle w:val="TextBody"/>
        <w:bidi w:val="0"/>
        <w:spacing w:lineRule="auto" w:line="321" w:before="0" w:after="0"/>
        <w:ind w:left="0" w:right="0" w:hanging="0"/>
        <w:jc w:val="left"/>
        <w:rPr/>
      </w:pPr>
      <w:r>
        <w:rPr/>
        <w:t>​</w:t>
      </w:r>
    </w:p>
    <w:p>
      <w:pPr>
        <w:pStyle w:val="TextBody"/>
        <w:bidi w:val="0"/>
        <w:spacing w:lineRule="auto" w:line="285" w:before="0" w:after="0"/>
        <w:ind w:left="0" w:right="0" w:hanging="0"/>
        <w:jc w:val="center"/>
        <w:rPr>
          <w:rFonts w:ascii="Segoe UI" w:hAnsi="Segoe UI"/>
          <w:sz w:val="22"/>
        </w:rPr>
      </w:pPr>
      <w:r>
        <w:rPr>
          <w:rFonts w:ascii="Segoe UI" w:hAnsi="Segoe UI"/>
          <w:sz w:val="22"/>
        </w:rPr>
        <w:t>6</w:t>
      </w:r>
    </w:p>
    <w:p>
      <w:pPr>
        <w:pStyle w:val="HorizontalLine"/>
        <w:pBdr>
          <w:bottom w:val="double" w:sz="2" w:space="0" w:color="808080"/>
        </w:pBdr>
        <w:bidi w:val="0"/>
        <w:spacing w:before="0" w:after="283"/>
        <w:jc w:val="left"/>
        <w:rPr/>
      </w:pPr>
      <w:r>
        <w:rPr/>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Evolution Petroleum Corporation</w:t>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Condensed Consolidated Statements of Operations (Unaudited)</w:t>
      </w:r>
    </w:p>
    <w:p>
      <w:pPr>
        <w:pStyle w:val="TextBody"/>
        <w:bidi w:val="0"/>
        <w:spacing w:lineRule="auto" w:line="321" w:before="0" w:after="300"/>
        <w:ind w:left="0" w:right="0" w:hanging="0"/>
        <w:jc w:val="center"/>
        <w:rPr>
          <w:rFonts w:ascii="Segoe UI Semibold" w:hAnsi="Segoe UI Semibold"/>
          <w:sz w:val="22"/>
        </w:rPr>
      </w:pPr>
      <w:r>
        <w:rPr>
          <w:rFonts w:ascii="Segoe UI Semibold" w:hAnsi="Segoe UI Semibold"/>
          <w:sz w:val="22"/>
        </w:rPr>
        <w:t>(In thousands, except per share amounts)</w:t>
      </w:r>
    </w:p>
    <w:tbl>
      <w:tblPr>
        <w:tblW w:w="10205" w:type="dxa"/>
        <w:jc w:val="left"/>
        <w:tblInd w:w="0" w:type="dxa"/>
        <w:tblLayout w:type="fixed"/>
        <w:tblCellMar>
          <w:top w:w="0" w:type="dxa"/>
          <w:left w:w="0" w:type="dxa"/>
          <w:bottom w:w="0" w:type="dxa"/>
          <w:right w:w="0" w:type="dxa"/>
        </w:tblCellMar>
      </w:tblPr>
      <w:tblGrid>
        <w:gridCol w:w="4342"/>
        <w:gridCol w:w="109"/>
        <w:gridCol w:w="211"/>
        <w:gridCol w:w="784"/>
        <w:gridCol w:w="109"/>
        <w:gridCol w:w="211"/>
        <w:gridCol w:w="688"/>
        <w:gridCol w:w="346"/>
        <w:gridCol w:w="310"/>
        <w:gridCol w:w="999"/>
        <w:gridCol w:w="109"/>
        <w:gridCol w:w="211"/>
        <w:gridCol w:w="688"/>
        <w:gridCol w:w="109"/>
        <w:gridCol w:w="211"/>
        <w:gridCol w:w="768"/>
      </w:tblGrid>
      <w:tr>
        <w:trPr/>
        <w:tc>
          <w:tcPr>
            <w:tcW w:w="4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757170" cy="175260"/>
                      <wp:effectExtent l="0" t="0" r="0" b="0"/>
                      <wp:wrapNone/>
                      <wp:docPr id="15" name="Frame14"/>
                      <a:graphic xmlns:a="http://schemas.openxmlformats.org/drawingml/2006/main">
                        <a:graphicData uri="http://schemas.microsoft.com/office/word/2010/wordprocessingShape">
                          <wps:wsp>
                            <wps:cNvSpPr txBox="1"/>
                            <wps:spPr>
                              <a:xfrm>
                                <a:off x="0" y="0"/>
                                <a:ext cx="275717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9215" cy="175260"/>
                      <wp:effectExtent l="0" t="0" r="0" b="0"/>
                      <wp:wrapNone/>
                      <wp:docPr id="16"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97840" cy="175260"/>
                      <wp:effectExtent l="0" t="0" r="0" b="0"/>
                      <wp:wrapNone/>
                      <wp:docPr id="18" name="Frame17"/>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175260"/>
                      <wp:effectExtent l="0" t="0" r="0" b="0"/>
                      <wp:wrapNone/>
                      <wp:docPr id="19"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36880" cy="175260"/>
                      <wp:effectExtent l="0" t="0" r="0" b="0"/>
                      <wp:wrapNone/>
                      <wp:docPr id="21" name="Frame20"/>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96850" cy="175260"/>
                      <wp:effectExtent l="0" t="0" r="0" b="0"/>
                      <wp:wrapNone/>
                      <wp:docPr id="23" name="Frame2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9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34365" cy="175260"/>
                      <wp:effectExtent l="0" t="0" r="0" b="0"/>
                      <wp:wrapNone/>
                      <wp:docPr id="24" name="Frame23"/>
                      <a:graphic xmlns:a="http://schemas.openxmlformats.org/drawingml/2006/main">
                        <a:graphicData uri="http://schemas.microsoft.com/office/word/2010/wordprocessingShape">
                          <wps:wsp>
                            <wps:cNvSpPr txBox="1"/>
                            <wps:spPr>
                              <a:xfrm>
                                <a:off x="0" y="0"/>
                                <a:ext cx="63436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36880" cy="175260"/>
                      <wp:effectExtent l="0" t="0" r="0" b="0"/>
                      <wp:wrapNone/>
                      <wp:docPr id="27" name="Frame26"/>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175260"/>
                      <wp:effectExtent l="0" t="0" r="0" b="0"/>
                      <wp:wrapNone/>
                      <wp:docPr id="28" name="Frame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87680" cy="175260"/>
                      <wp:effectExtent l="0" t="0" r="0" b="0"/>
                      <wp:wrapNone/>
                      <wp:docPr id="30" name="Frame29"/>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r>
      <w:tr>
        <w:trPr/>
        <w:tc>
          <w:tcPr>
            <w:tcW w:w="4342" w:type="dxa"/>
            <w:tcBorders/>
            <w:vAlign w:val="center"/>
          </w:tcPr>
          <w:p>
            <w:pPr>
              <w:pStyle w:val="TableContents"/>
              <w:bidi w:val="0"/>
              <w:spacing w:lineRule="auto" w:line="321" w:before="0" w:after="1"/>
              <w:ind w:left="0" w:right="0" w:hanging="0"/>
              <w:jc w:val="left"/>
              <w:rPr/>
            </w:pPr>
            <w:r>
              <w:rPr/>
              <w:t> </w:t>
            </w:r>
          </w:p>
        </w:tc>
        <w:tc>
          <w:tcPr>
            <w:tcW w:w="109" w:type="dxa"/>
            <w:tcBorders/>
            <w:vAlign w:val="center"/>
          </w:tcPr>
          <w:p>
            <w:pPr>
              <w:pStyle w:val="TableContents"/>
              <w:bidi w:val="0"/>
              <w:spacing w:lineRule="auto" w:line="321" w:before="0" w:after="1"/>
              <w:ind w:left="0" w:right="0" w:hanging="0"/>
              <w:jc w:val="left"/>
              <w:rPr/>
            </w:pPr>
            <w:r>
              <w:rPr/>
              <w:t>​</w:t>
            </w:r>
          </w:p>
        </w:tc>
        <w:tc>
          <w:tcPr>
            <w:tcW w:w="3658" w:type="dxa"/>
            <w:gridSpan w:val="8"/>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 xml:space="preserve">Three Months Ended </w:t>
            </w:r>
          </w:p>
        </w:tc>
        <w:tc>
          <w:tcPr>
            <w:tcW w:w="109" w:type="dxa"/>
            <w:tcBorders/>
            <w:vAlign w:val="center"/>
          </w:tcPr>
          <w:p>
            <w:pPr>
              <w:pStyle w:val="TableContents"/>
              <w:bidi w:val="0"/>
              <w:spacing w:lineRule="auto" w:line="321" w:before="0" w:after="1"/>
              <w:ind w:left="0" w:right="0" w:hanging="0"/>
              <w:jc w:val="left"/>
              <w:rPr/>
            </w:pPr>
            <w:r>
              <w:rPr/>
              <w:t>​</w:t>
            </w:r>
          </w:p>
        </w:tc>
        <w:tc>
          <w:tcPr>
            <w:tcW w:w="1987"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Nine Months Ended</w:t>
            </w:r>
          </w:p>
        </w:tc>
      </w:tr>
      <w:tr>
        <w:trPr/>
        <w:tc>
          <w:tcPr>
            <w:tcW w:w="4342"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003"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March 31, </w:t>
            </w:r>
          </w:p>
        </w:tc>
        <w:tc>
          <w:tcPr>
            <w:tcW w:w="346" w:type="dxa"/>
            <w:tcBorders/>
            <w:vAlign w:val="center"/>
          </w:tcPr>
          <w:p>
            <w:pPr>
              <w:pStyle w:val="TableContents"/>
              <w:bidi w:val="0"/>
              <w:spacing w:lineRule="auto" w:line="321" w:before="0" w:after="1"/>
              <w:ind w:left="0" w:right="0" w:hanging="0"/>
              <w:jc w:val="left"/>
              <w:rPr/>
            </w:pPr>
            <w:r>
              <w:rPr/>
              <w:t>​</w:t>
            </w:r>
          </w:p>
        </w:tc>
        <w:tc>
          <w:tcPr>
            <w:tcW w:w="1309"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December 31,</w:t>
            </w:r>
          </w:p>
        </w:tc>
        <w:tc>
          <w:tcPr>
            <w:tcW w:w="109" w:type="dxa"/>
            <w:tcBorders/>
            <w:vAlign w:val="center"/>
          </w:tcPr>
          <w:p>
            <w:pPr>
              <w:pStyle w:val="TableContents"/>
              <w:bidi w:val="0"/>
              <w:spacing w:lineRule="auto" w:line="321" w:before="0" w:after="1"/>
              <w:ind w:left="0" w:right="0" w:hanging="0"/>
              <w:jc w:val="left"/>
              <w:rPr/>
            </w:pPr>
            <w:r>
              <w:rPr/>
              <w:t>​</w:t>
            </w:r>
          </w:p>
        </w:tc>
        <w:tc>
          <w:tcPr>
            <w:tcW w:w="1987"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March 31, </w:t>
            </w:r>
          </w:p>
        </w:tc>
      </w:tr>
      <w:tr>
        <w:trPr/>
        <w:tc>
          <w:tcPr>
            <w:tcW w:w="4342" w:type="dxa"/>
            <w:tcBorders/>
            <w:vAlign w:val="center"/>
          </w:tcPr>
          <w:p>
            <w:pPr>
              <w:pStyle w:val="TableContents"/>
              <w:bidi w:val="0"/>
              <w:spacing w:lineRule="auto" w:line="321" w:before="0" w:after="1"/>
              <w:ind w:left="0" w:right="0" w:hanging="0"/>
              <w:jc w:val="left"/>
              <w:rPr/>
            </w:pPr>
            <w:r>
              <w:rPr/>
              <w:t> </w:t>
            </w:r>
          </w:p>
        </w:tc>
        <w:tc>
          <w:tcPr>
            <w:tcW w:w="109" w:type="dxa"/>
            <w:tcBorders/>
            <w:vAlign w:val="center"/>
          </w:tcPr>
          <w:p>
            <w:pPr>
              <w:pStyle w:val="TableContents"/>
              <w:bidi w:val="0"/>
              <w:spacing w:lineRule="auto" w:line="321" w:before="0" w:after="1"/>
              <w:ind w:left="0" w:right="0" w:hanging="0"/>
              <w:jc w:val="left"/>
              <w:rPr/>
            </w:pPr>
            <w:r>
              <w:rPr/>
              <w:t>​</w:t>
            </w:r>
          </w:p>
        </w:tc>
        <w:tc>
          <w:tcPr>
            <w:tcW w:w="995"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899"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c>
          <w:tcPr>
            <w:tcW w:w="346" w:type="dxa"/>
            <w:tcBorders/>
            <w:vAlign w:val="center"/>
          </w:tcPr>
          <w:p>
            <w:pPr>
              <w:pStyle w:val="TableContents"/>
              <w:bidi w:val="0"/>
              <w:spacing w:lineRule="auto" w:line="321" w:before="0" w:after="1"/>
              <w:ind w:left="0" w:right="0" w:hanging="0"/>
              <w:jc w:val="left"/>
              <w:rPr/>
            </w:pPr>
            <w:r>
              <w:rPr/>
              <w:t>  ​ ​ ​</w:t>
            </w:r>
          </w:p>
        </w:tc>
        <w:tc>
          <w:tcPr>
            <w:tcW w:w="1309"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c>
          <w:tcPr>
            <w:tcW w:w="109" w:type="dxa"/>
            <w:tcBorders/>
            <w:vAlign w:val="center"/>
          </w:tcPr>
          <w:p>
            <w:pPr>
              <w:pStyle w:val="TableContents"/>
              <w:bidi w:val="0"/>
              <w:spacing w:lineRule="auto" w:line="321" w:before="0" w:after="1"/>
              <w:ind w:left="0" w:right="0" w:hanging="0"/>
              <w:jc w:val="left"/>
              <w:rPr/>
            </w:pPr>
            <w:r>
              <w:rPr/>
              <w:t>​</w:t>
            </w:r>
          </w:p>
        </w:tc>
        <w:tc>
          <w:tcPr>
            <w:tcW w:w="899"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979"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r>
      <w:tr>
        <w:trPr/>
        <w:tc>
          <w:tcPr>
            <w:tcW w:w="4342"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Revenues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84" w:type="dxa"/>
            <w:tcBorders/>
            <w:shd w:fill="CCEEFF" w:val="clear"/>
            <w:vAlign w:val="center"/>
          </w:tcPr>
          <w:p>
            <w:pPr>
              <w:pStyle w:val="TableContents"/>
              <w:bidi w:val="0"/>
              <w:spacing w:lineRule="auto" w:line="321" w:before="0" w:after="1"/>
              <w:ind w:left="0" w:right="0" w:hanging="0"/>
              <w:jc w:val="left"/>
              <w:rPr>
                <w:color w:val="FF0000"/>
              </w:rPr>
            </w:pPr>
            <w:r>
              <w:rPr>
                <w:color w:val="FF0000"/>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8"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shd w:fill="CCEEFF" w:val="clear"/>
            <w:vAlign w:val="center"/>
          </w:tcPr>
          <w:p>
            <w:pPr>
              <w:pStyle w:val="TableContents"/>
              <w:bidi w:val="0"/>
              <w:spacing w:lineRule="auto" w:line="321" w:before="0" w:after="1"/>
              <w:ind w:left="0" w:right="0" w:hanging="0"/>
              <w:jc w:val="left"/>
              <w:rPr/>
            </w:pPr>
            <w:r>
              <w:rPr/>
              <w:t>​</w:t>
            </w:r>
          </w:p>
        </w:tc>
        <w:tc>
          <w:tcPr>
            <w:tcW w:w="999" w:type="dxa"/>
            <w:tcBorders/>
            <w:shd w:fill="CCEEFF" w:val="clear"/>
            <w:vAlign w:val="center"/>
          </w:tcPr>
          <w:p>
            <w:pPr>
              <w:pStyle w:val="TableContents"/>
              <w:bidi w:val="0"/>
              <w:spacing w:lineRule="auto" w:line="321" w:before="0" w:after="1"/>
              <w:ind w:left="0" w:right="0" w:hanging="0"/>
              <w:jc w:val="left"/>
              <w:rPr>
                <w:color w:val="FF0000"/>
              </w:rPr>
            </w:pPr>
            <w:r>
              <w:rPr>
                <w:color w:val="FF0000"/>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8"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8" w:type="dxa"/>
            <w:tcBorders/>
            <w:shd w:fill="CCEEFF" w:val="clear"/>
            <w:vAlign w:val="center"/>
          </w:tcPr>
          <w:p>
            <w:pPr>
              <w:pStyle w:val="TableContents"/>
              <w:bidi w:val="0"/>
              <w:spacing w:lineRule="auto" w:line="321" w:before="0" w:after="1"/>
              <w:ind w:left="0" w:right="0" w:hanging="0"/>
              <w:jc w:val="left"/>
              <w:rPr/>
            </w:pPr>
            <w:r>
              <w:rPr/>
              <w:t>​</w:t>
            </w:r>
          </w:p>
        </w:tc>
      </w:tr>
      <w:tr>
        <w:trPr/>
        <w:tc>
          <w:tcPr>
            <w:tcW w:w="434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Crude oil</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84"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10,474</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11,769</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99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10,696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34,042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6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38,269</w:t>
            </w:r>
          </w:p>
        </w:tc>
      </w:tr>
      <w:tr>
        <w:trPr/>
        <w:tc>
          <w:tcPr>
            <w:tcW w:w="4342"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Natural gas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84"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7,284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7,790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shd w:fill="CCEEFF" w:val="clear"/>
            <w:vAlign w:val="center"/>
          </w:tcPr>
          <w:p>
            <w:pPr>
              <w:pStyle w:val="TableContents"/>
              <w:bidi w:val="0"/>
              <w:spacing w:lineRule="auto" w:line="321" w:before="0" w:after="1"/>
              <w:ind w:left="0" w:right="0" w:hanging="0"/>
              <w:jc w:val="left"/>
              <w:rPr/>
            </w:pPr>
            <w:r>
              <w:rPr/>
              <w:t>​</w:t>
            </w:r>
          </w:p>
        </w:tc>
        <w:tc>
          <w:tcPr>
            <w:tcW w:w="99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7,441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20,625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17,868</w:t>
            </w:r>
          </w:p>
        </w:tc>
      </w:tr>
      <w:tr>
        <w:trPr/>
        <w:tc>
          <w:tcPr>
            <w:tcW w:w="434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Natural gas liquids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2,410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3,002</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999"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2,542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7,468</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8,595</w:t>
            </w:r>
          </w:p>
        </w:tc>
      </w:tr>
      <w:tr>
        <w:trPr/>
        <w:tc>
          <w:tcPr>
            <w:tcW w:w="4342"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revenues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84"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20,168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22,561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shd w:fill="CCEEFF" w:val="clear"/>
            <w:vAlign w:val="center"/>
          </w:tcPr>
          <w:p>
            <w:pPr>
              <w:pStyle w:val="TableContents"/>
              <w:bidi w:val="0"/>
              <w:spacing w:lineRule="auto" w:line="321" w:before="0" w:after="1"/>
              <w:ind w:left="0" w:right="0" w:hanging="0"/>
              <w:jc w:val="left"/>
              <w:rPr/>
            </w:pPr>
            <w:r>
              <w:rPr/>
              <w:t>​</w:t>
            </w:r>
          </w:p>
        </w:tc>
        <w:tc>
          <w:tcPr>
            <w:tcW w:w="99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20,679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62,135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64,732</w:t>
            </w:r>
          </w:p>
        </w:tc>
      </w:tr>
      <w:tr>
        <w:trPr/>
        <w:tc>
          <w:tcPr>
            <w:tcW w:w="434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Operating costs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84"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8"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vAlign w:val="center"/>
          </w:tcPr>
          <w:p>
            <w:pPr>
              <w:pStyle w:val="TableContents"/>
              <w:bidi w:val="0"/>
              <w:spacing w:lineRule="auto" w:line="321" w:before="0" w:after="1"/>
              <w:ind w:left="0" w:right="0" w:hanging="0"/>
              <w:jc w:val="left"/>
              <w:rPr/>
            </w:pPr>
            <w:r>
              <w:rPr/>
              <w:t>​</w:t>
            </w:r>
          </w:p>
        </w:tc>
        <w:tc>
          <w:tcPr>
            <w:tcW w:w="99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8"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8" w:type="dxa"/>
            <w:tcBorders/>
            <w:vAlign w:val="center"/>
          </w:tcPr>
          <w:p>
            <w:pPr>
              <w:pStyle w:val="TableContents"/>
              <w:bidi w:val="0"/>
              <w:spacing w:lineRule="auto" w:line="321" w:before="0" w:after="1"/>
              <w:ind w:left="0" w:right="0" w:hanging="0"/>
              <w:jc w:val="left"/>
              <w:rPr/>
            </w:pPr>
            <w:r>
              <w:rPr/>
              <w:t>​</w:t>
            </w:r>
          </w:p>
        </w:tc>
      </w:tr>
      <w:tr>
        <w:trPr/>
        <w:tc>
          <w:tcPr>
            <w:tcW w:w="4342"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Lease operating costs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84"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12,959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13,388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shd w:fill="CCEEFF" w:val="clear"/>
            <w:vAlign w:val="center"/>
          </w:tcPr>
          <w:p>
            <w:pPr>
              <w:pStyle w:val="TableContents"/>
              <w:bidi w:val="0"/>
              <w:spacing w:lineRule="auto" w:line="321" w:before="0" w:after="1"/>
              <w:ind w:left="0" w:right="0" w:hanging="0"/>
              <w:jc w:val="left"/>
              <w:rPr/>
            </w:pPr>
            <w:r>
              <w:rPr/>
              <w:t>​</w:t>
            </w:r>
          </w:p>
        </w:tc>
        <w:tc>
          <w:tcPr>
            <w:tcW w:w="99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11,510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37,556</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37,971</w:t>
            </w:r>
          </w:p>
        </w:tc>
      </w:tr>
      <w:tr>
        <w:trPr/>
        <w:tc>
          <w:tcPr>
            <w:tcW w:w="434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Depletion, depreciation, and accretion</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84"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5,294</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5,014</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vAlign w:val="center"/>
          </w:tcPr>
          <w:p>
            <w:pPr>
              <w:pStyle w:val="TableContents"/>
              <w:bidi w:val="0"/>
              <w:spacing w:lineRule="auto" w:line="321" w:before="0" w:after="1"/>
              <w:ind w:left="0" w:right="0" w:hanging="0"/>
              <w:jc w:val="left"/>
              <w:rPr/>
            </w:pPr>
            <w:r>
              <w:rPr/>
              <w:t>​</w:t>
            </w:r>
          </w:p>
        </w:tc>
        <w:tc>
          <w:tcPr>
            <w:tcW w:w="99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5,919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17,174</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16,172</w:t>
            </w:r>
          </w:p>
        </w:tc>
      </w:tr>
      <w:tr>
        <w:trPr/>
        <w:tc>
          <w:tcPr>
            <w:tcW w:w="4342"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General and administrative expenses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2,473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2,573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999"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2,592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7,390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7,754</w:t>
            </w:r>
          </w:p>
        </w:tc>
      </w:tr>
      <w:tr>
        <w:trPr/>
        <w:tc>
          <w:tcPr>
            <w:tcW w:w="434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operating costs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20,726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20,975</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999"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20,021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62,120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61,897</w:t>
            </w:r>
          </w:p>
        </w:tc>
      </w:tr>
      <w:tr>
        <w:trPr/>
        <w:tc>
          <w:tcPr>
            <w:tcW w:w="4342"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Income (loss) from operations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84"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(558)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1,586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shd w:fill="CCEEFF" w:val="clear"/>
            <w:vAlign w:val="center"/>
          </w:tcPr>
          <w:p>
            <w:pPr>
              <w:pStyle w:val="TableContents"/>
              <w:bidi w:val="0"/>
              <w:spacing w:lineRule="auto" w:line="321" w:before="0" w:after="1"/>
              <w:ind w:left="0" w:right="0" w:hanging="0"/>
              <w:jc w:val="left"/>
              <w:rPr/>
            </w:pPr>
            <w:r>
              <w:rPr/>
              <w:t>​</w:t>
            </w:r>
          </w:p>
        </w:tc>
        <w:tc>
          <w:tcPr>
            <w:tcW w:w="99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658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2,835</w:t>
            </w:r>
          </w:p>
        </w:tc>
      </w:tr>
      <w:tr>
        <w:trPr/>
        <w:tc>
          <w:tcPr>
            <w:tcW w:w="434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Other income (expense)</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84"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8"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vAlign w:val="center"/>
          </w:tcPr>
          <w:p>
            <w:pPr>
              <w:pStyle w:val="TableContents"/>
              <w:bidi w:val="0"/>
              <w:spacing w:lineRule="auto" w:line="321" w:before="0" w:after="1"/>
              <w:ind w:left="0" w:right="0" w:hanging="0"/>
              <w:jc w:val="left"/>
              <w:rPr/>
            </w:pPr>
            <w:r>
              <w:rPr/>
              <w:t>​</w:t>
            </w:r>
          </w:p>
        </w:tc>
        <w:tc>
          <w:tcPr>
            <w:tcW w:w="99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8"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8" w:type="dxa"/>
            <w:tcBorders/>
            <w:vAlign w:val="center"/>
          </w:tcPr>
          <w:p>
            <w:pPr>
              <w:pStyle w:val="TableContents"/>
              <w:bidi w:val="0"/>
              <w:spacing w:lineRule="auto" w:line="321" w:before="0" w:after="1"/>
              <w:ind w:left="0" w:right="0" w:hanging="0"/>
              <w:jc w:val="left"/>
              <w:rPr/>
            </w:pPr>
            <w:r>
              <w:rPr/>
              <w:t>​</w:t>
            </w:r>
          </w:p>
        </w:tc>
      </w:tr>
      <w:tr>
        <w:trPr/>
        <w:tc>
          <w:tcPr>
            <w:tcW w:w="4342"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Net gain (loss) on derivative contracts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84"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(9,869)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(3,802)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shd w:fill="CCEEFF" w:val="clear"/>
            <w:vAlign w:val="center"/>
          </w:tcPr>
          <w:p>
            <w:pPr>
              <w:pStyle w:val="TableContents"/>
              <w:bidi w:val="0"/>
              <w:spacing w:lineRule="auto" w:line="321" w:before="0" w:after="1"/>
              <w:ind w:left="0" w:right="0" w:hanging="0"/>
              <w:jc w:val="left"/>
              <w:rPr/>
            </w:pPr>
            <w:r>
              <w:rPr/>
              <w:t>​</w:t>
            </w:r>
          </w:p>
        </w:tc>
        <w:tc>
          <w:tcPr>
            <w:tcW w:w="999"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2,235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(5,453)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(3,223)</w:t>
            </w:r>
          </w:p>
        </w:tc>
      </w:tr>
      <w:tr>
        <w:trPr/>
        <w:tc>
          <w:tcPr>
            <w:tcW w:w="434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Interest and other income</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84"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55</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vAlign w:val="center"/>
          </w:tcPr>
          <w:p>
            <w:pPr>
              <w:pStyle w:val="TableContents"/>
              <w:bidi w:val="0"/>
              <w:spacing w:lineRule="auto" w:line="321" w:before="0" w:after="1"/>
              <w:ind w:left="0" w:right="0" w:hanging="0"/>
              <w:jc w:val="left"/>
              <w:rPr/>
            </w:pPr>
            <w:r>
              <w:rPr/>
              <w:t>​</w:t>
            </w:r>
          </w:p>
        </w:tc>
        <w:tc>
          <w:tcPr>
            <w:tcW w:w="99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164</w:t>
            </w:r>
          </w:p>
        </w:tc>
      </w:tr>
      <w:tr>
        <w:trPr/>
        <w:tc>
          <w:tcPr>
            <w:tcW w:w="4342"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Interest expense</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(960)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(705)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999"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(1,003)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(2,880)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(2,292)</w:t>
            </w:r>
          </w:p>
        </w:tc>
      </w:tr>
      <w:tr>
        <w:trPr/>
        <w:tc>
          <w:tcPr>
            <w:tcW w:w="434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Income (loss) before income taxes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84"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(11,363)</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(2,866)</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vAlign w:val="center"/>
          </w:tcPr>
          <w:p>
            <w:pPr>
              <w:pStyle w:val="TableContents"/>
              <w:bidi w:val="0"/>
              <w:spacing w:lineRule="auto" w:line="321" w:before="0" w:after="1"/>
              <w:ind w:left="0" w:right="0" w:hanging="0"/>
              <w:jc w:val="left"/>
              <w:rPr/>
            </w:pPr>
            <w:r>
              <w:rPr/>
              <w:t>​</w:t>
            </w:r>
          </w:p>
        </w:tc>
        <w:tc>
          <w:tcPr>
            <w:tcW w:w="999"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1,902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(8,272)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(2,516)</w:t>
            </w:r>
          </w:p>
        </w:tc>
      </w:tr>
      <w:tr>
        <w:trPr/>
        <w:tc>
          <w:tcPr>
            <w:tcW w:w="4342"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Income tax (expense) benefit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2,431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687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999"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(837)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1,229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577</w:t>
            </w:r>
          </w:p>
        </w:tc>
      </w:tr>
      <w:tr>
        <w:trPr/>
        <w:tc>
          <w:tcPr>
            <w:tcW w:w="434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 xml:space="preserve">Net income (loss) </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84"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(8,932)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8"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(2,179)</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999"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1,065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8"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(7,043)</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68"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(1,939)</w:t>
            </w:r>
          </w:p>
        </w:tc>
      </w:tr>
      <w:tr>
        <w:trPr/>
        <w:tc>
          <w:tcPr>
            <w:tcW w:w="4342"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Net income (loss) per common share:</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84"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8"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shd w:fill="CCEEFF" w:val="clear"/>
            <w:vAlign w:val="center"/>
          </w:tcPr>
          <w:p>
            <w:pPr>
              <w:pStyle w:val="TableContents"/>
              <w:bidi w:val="0"/>
              <w:spacing w:lineRule="auto" w:line="321" w:before="0" w:after="1"/>
              <w:ind w:left="0" w:right="0" w:hanging="0"/>
              <w:jc w:val="left"/>
              <w:rPr/>
            </w:pPr>
            <w:r>
              <w:rPr/>
              <w:t>​</w:t>
            </w:r>
          </w:p>
        </w:tc>
        <w:tc>
          <w:tcPr>
            <w:tcW w:w="999"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8" w:type="dxa"/>
            <w:tcBorders/>
            <w:shd w:fill="CCEEFF" w:val="clear"/>
            <w:vAlign w:val="center"/>
          </w:tcPr>
          <w:p>
            <w:pPr>
              <w:pStyle w:val="TableContents"/>
              <w:bidi w:val="0"/>
              <w:spacing w:lineRule="auto" w:line="321" w:before="0" w:after="1"/>
              <w:ind w:left="0" w:right="0" w:hanging="0"/>
              <w:jc w:val="left"/>
              <w:rPr/>
            </w:pPr>
            <w:r>
              <w:rPr/>
              <w:t> </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8" w:type="dxa"/>
            <w:tcBorders/>
            <w:shd w:fill="CCEEFF" w:val="clear"/>
            <w:vAlign w:val="center"/>
          </w:tcPr>
          <w:p>
            <w:pPr>
              <w:pStyle w:val="TableContents"/>
              <w:bidi w:val="0"/>
              <w:spacing w:lineRule="auto" w:line="321" w:before="0" w:after="1"/>
              <w:ind w:left="0" w:right="0" w:hanging="0"/>
              <w:jc w:val="left"/>
              <w:rPr/>
            </w:pPr>
            <w:r>
              <w:rPr/>
              <w:t> </w:t>
            </w:r>
          </w:p>
        </w:tc>
      </w:tr>
      <w:tr>
        <w:trPr/>
        <w:tc>
          <w:tcPr>
            <w:tcW w:w="434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Basic</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84"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(0.26)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8"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(0.07)</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999"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0.03</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8"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(0.22)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68"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(0.07)</w:t>
            </w:r>
          </w:p>
        </w:tc>
      </w:tr>
      <w:tr>
        <w:trPr/>
        <w:tc>
          <w:tcPr>
            <w:tcW w:w="4342"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Diluted</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84"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(0.26)</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8"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999"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8"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(0.22)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68"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(0.07)</w:t>
            </w:r>
          </w:p>
        </w:tc>
      </w:tr>
      <w:tr>
        <w:trPr/>
        <w:tc>
          <w:tcPr>
            <w:tcW w:w="434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Weighted average number of common shares outstanding:</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84"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8"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vAlign w:val="center"/>
          </w:tcPr>
          <w:p>
            <w:pPr>
              <w:pStyle w:val="TableContents"/>
              <w:bidi w:val="0"/>
              <w:spacing w:lineRule="auto" w:line="321" w:before="0" w:after="1"/>
              <w:ind w:left="0" w:right="0" w:hanging="0"/>
              <w:jc w:val="left"/>
              <w:rPr/>
            </w:pPr>
            <w:r>
              <w:rPr/>
              <w:t>​</w:t>
            </w:r>
          </w:p>
        </w:tc>
        <w:tc>
          <w:tcPr>
            <w:tcW w:w="99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8" w:type="dxa"/>
            <w:tcBorders/>
            <w:vAlign w:val="center"/>
          </w:tcPr>
          <w:p>
            <w:pPr>
              <w:pStyle w:val="TableContents"/>
              <w:bidi w:val="0"/>
              <w:spacing w:lineRule="auto" w:line="321" w:before="0" w:after="1"/>
              <w:ind w:left="0" w:right="0" w:hanging="0"/>
              <w:jc w:val="left"/>
              <w:rPr/>
            </w:pPr>
            <w:r>
              <w:rPr/>
              <w:t> </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8" w:type="dxa"/>
            <w:tcBorders/>
            <w:vAlign w:val="center"/>
          </w:tcPr>
          <w:p>
            <w:pPr>
              <w:pStyle w:val="TableContents"/>
              <w:bidi w:val="0"/>
              <w:spacing w:lineRule="auto" w:line="321" w:before="0" w:after="1"/>
              <w:ind w:left="0" w:right="0" w:hanging="0"/>
              <w:jc w:val="left"/>
              <w:rPr/>
            </w:pPr>
            <w:r>
              <w:rPr/>
              <w:t> </w:t>
            </w:r>
          </w:p>
        </w:tc>
      </w:tr>
      <w:tr>
        <w:trPr/>
        <w:tc>
          <w:tcPr>
            <w:tcW w:w="4342"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Basic</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84"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34,315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88"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33,433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999"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33,904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88"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33,979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8"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33,027</w:t>
            </w:r>
          </w:p>
        </w:tc>
      </w:tr>
      <w:tr>
        <w:trPr/>
        <w:tc>
          <w:tcPr>
            <w:tcW w:w="434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Diluted</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84"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34,315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88"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33,433</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999"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34,025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88"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33,979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68" w:type="dxa"/>
            <w:tcBorders>
              <w:bottom w:val="double" w:sz="6" w:space="0" w:color="000000"/>
            </w:tcBorders>
            <w:tcMar>
              <w:bottom w:w="28" w:type="dxa"/>
            </w:tcMar>
            <w:vAlign w:val="center"/>
          </w:tcPr>
          <w:p>
            <w:pPr>
              <w:pStyle w:val="TableContents"/>
              <w:bidi w:val="0"/>
              <w:spacing w:lineRule="auto" w:line="321" w:before="0" w:after="1"/>
              <w:ind w:left="0" w:right="45" w:hanging="0"/>
              <w:jc w:val="right"/>
              <w:rPr>
                <w:rFonts w:ascii="Segoe UI" w:hAnsi="Segoe UI"/>
                <w:sz w:val="16"/>
              </w:rPr>
            </w:pPr>
            <w:r>
              <w:rPr>
                <w:rFonts w:ascii="Segoe UI" w:hAnsi="Segoe UI"/>
                <w:sz w:val="16"/>
              </w:rPr>
              <w:t>33,027</w:t>
            </w:r>
          </w:p>
        </w:tc>
      </w:tr>
    </w:tbl>
    <w:p>
      <w:pPr>
        <w:pStyle w:val="TextBody"/>
        <w:bidi w:val="0"/>
        <w:spacing w:lineRule="auto" w:line="321" w:before="0" w:after="0"/>
        <w:ind w:left="0" w:right="0" w:hanging="0"/>
        <w:jc w:val="left"/>
        <w:rPr/>
      </w:pPr>
      <w:r>
        <w:rPr/>
        <w:t>​</w:t>
      </w:r>
    </w:p>
    <w:p>
      <w:pPr>
        <w:pStyle w:val="TextBody"/>
        <w:bidi w:val="0"/>
        <w:spacing w:lineRule="auto" w:line="321" w:before="0" w:after="0"/>
        <w:ind w:left="0" w:right="0" w:hanging="0"/>
        <w:jc w:val="left"/>
        <w:rPr/>
      </w:pPr>
      <w:r>
        <w:rPr/>
        <w:t>​</w:t>
      </w:r>
    </w:p>
    <w:p>
      <w:pPr>
        <w:pStyle w:val="TextBody"/>
        <w:bidi w:val="0"/>
        <w:spacing w:lineRule="auto" w:line="321" w:before="0" w:after="360"/>
        <w:ind w:left="0" w:right="0" w:hanging="0"/>
        <w:jc w:val="center"/>
        <w:rPr/>
      </w:pPr>
      <w:r>
        <w:rPr/>
        <w:t>​</w:t>
      </w:r>
    </w:p>
    <w:p>
      <w:pPr>
        <w:pStyle w:val="TextBody"/>
        <w:bidi w:val="0"/>
        <w:spacing w:lineRule="auto" w:line="321" w:before="0" w:after="0"/>
        <w:ind w:left="0" w:right="0" w:hanging="0"/>
        <w:jc w:val="left"/>
        <w:rPr/>
      </w:pPr>
      <w:r>
        <w:rPr/>
        <w:t>​</w:t>
      </w:r>
    </w:p>
    <w:p>
      <w:pPr>
        <w:pStyle w:val="TextBody"/>
        <w:bidi w:val="0"/>
        <w:spacing w:lineRule="auto" w:line="285" w:before="0" w:after="0"/>
        <w:ind w:left="0" w:right="0" w:hanging="0"/>
        <w:jc w:val="center"/>
        <w:rPr>
          <w:rFonts w:ascii="Segoe UI" w:hAnsi="Segoe UI"/>
          <w:sz w:val="22"/>
        </w:rPr>
      </w:pPr>
      <w:r>
        <w:rPr>
          <w:rFonts w:ascii="Segoe UI" w:hAnsi="Segoe UI"/>
          <w:sz w:val="22"/>
        </w:rPr>
        <w:t>7</w:t>
      </w:r>
    </w:p>
    <w:p>
      <w:pPr>
        <w:pStyle w:val="HorizontalLine"/>
        <w:pBdr>
          <w:bottom w:val="double" w:sz="2" w:space="0" w:color="808080"/>
        </w:pBdr>
        <w:bidi w:val="0"/>
        <w:spacing w:before="0" w:after="283"/>
        <w:jc w:val="left"/>
        <w:rPr/>
      </w:pPr>
      <w:r>
        <w:rPr/>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Evolution Petroleum Corporation</w:t>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Condensed Consolidated Balance Sheets (Unaudited)</w:t>
      </w:r>
    </w:p>
    <w:p>
      <w:pPr>
        <w:pStyle w:val="TextBody"/>
        <w:bidi w:val="0"/>
        <w:spacing w:lineRule="auto" w:line="321" w:before="0" w:after="300"/>
        <w:ind w:left="0" w:right="0" w:hanging="0"/>
        <w:jc w:val="center"/>
        <w:rPr>
          <w:rFonts w:ascii="Segoe UI Semibold" w:hAnsi="Segoe UI Semibold"/>
          <w:sz w:val="22"/>
        </w:rPr>
      </w:pPr>
      <w:r>
        <w:rPr>
          <w:rFonts w:ascii="Segoe UI Semibold" w:hAnsi="Segoe UI Semibold"/>
          <w:sz w:val="22"/>
        </w:rPr>
        <w:t>(In thousands, except share and per share amounts)</w:t>
      </w:r>
    </w:p>
    <w:tbl>
      <w:tblPr>
        <w:tblW w:w="10205" w:type="dxa"/>
        <w:jc w:val="left"/>
        <w:tblInd w:w="0" w:type="dxa"/>
        <w:tblLayout w:type="fixed"/>
        <w:tblCellMar>
          <w:top w:w="0" w:type="dxa"/>
          <w:left w:w="0" w:type="dxa"/>
          <w:bottom w:w="0" w:type="dxa"/>
          <w:right w:w="0" w:type="dxa"/>
        </w:tblCellMar>
      </w:tblPr>
      <w:tblGrid>
        <w:gridCol w:w="6481"/>
        <w:gridCol w:w="346"/>
        <w:gridCol w:w="335"/>
        <w:gridCol w:w="1241"/>
        <w:gridCol w:w="346"/>
        <w:gridCol w:w="283"/>
        <w:gridCol w:w="1173"/>
      </w:tblGrid>
      <w:tr>
        <w:trPr/>
        <w:tc>
          <w:tcPr>
            <w:tcW w:w="6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115435" cy="175260"/>
                      <wp:effectExtent l="0" t="0" r="0" b="0"/>
                      <wp:wrapNone/>
                      <wp:docPr id="31" name="Frame30"/>
                      <a:graphic xmlns:a="http://schemas.openxmlformats.org/drawingml/2006/main">
                        <a:graphicData uri="http://schemas.microsoft.com/office/word/2010/wordprocessingShape">
                          <wps:wsp>
                            <wps:cNvSpPr txBox="1"/>
                            <wps:spPr>
                              <a:xfrm>
                                <a:off x="0" y="0"/>
                                <a:ext cx="411543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2725" cy="175260"/>
                      <wp:effectExtent l="0" t="0" r="0" b="0"/>
                      <wp:wrapNone/>
                      <wp:docPr id="33" name="Frame32"/>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788035" cy="175260"/>
                      <wp:effectExtent l="0" t="0" r="0" b="0"/>
                      <wp:wrapNone/>
                      <wp:docPr id="34" name="Frame33"/>
                      <a:graphic xmlns:a="http://schemas.openxmlformats.org/drawingml/2006/main">
                        <a:graphicData uri="http://schemas.microsoft.com/office/word/2010/wordprocessingShape">
                          <wps:wsp>
                            <wps:cNvSpPr txBox="1"/>
                            <wps:spPr>
                              <a:xfrm>
                                <a:off x="0" y="0"/>
                                <a:ext cx="78803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79705" cy="175260"/>
                      <wp:effectExtent l="0" t="0" r="0" b="0"/>
                      <wp:wrapNone/>
                      <wp:docPr id="36" name="Frame35"/>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744855" cy="175260"/>
                      <wp:effectExtent l="0" t="0" r="0" b="0"/>
                      <wp:wrapNone/>
                      <wp:docPr id="37" name="Frame36"/>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r>
      <w:tr>
        <w:trPr/>
        <w:tc>
          <w:tcPr>
            <w:tcW w:w="6481"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  ​ ​ ​</w:t>
            </w:r>
          </w:p>
        </w:tc>
        <w:tc>
          <w:tcPr>
            <w:tcW w:w="1576"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March 31, 2026</w:t>
            </w:r>
          </w:p>
        </w:tc>
        <w:tc>
          <w:tcPr>
            <w:tcW w:w="346" w:type="dxa"/>
            <w:tcBorders/>
            <w:vAlign w:val="center"/>
          </w:tcPr>
          <w:p>
            <w:pPr>
              <w:pStyle w:val="TableContents"/>
              <w:bidi w:val="0"/>
              <w:spacing w:lineRule="auto" w:line="321" w:before="0" w:after="1"/>
              <w:ind w:left="0" w:right="0" w:hanging="0"/>
              <w:jc w:val="left"/>
              <w:rPr/>
            </w:pPr>
            <w:r>
              <w:rPr/>
              <w:t>  ​ ​ ​</w:t>
            </w:r>
          </w:p>
        </w:tc>
        <w:tc>
          <w:tcPr>
            <w:tcW w:w="1456"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June 30, 2025</w:t>
            </w:r>
          </w:p>
        </w:tc>
      </w:tr>
      <w:tr>
        <w:trPr/>
        <w:tc>
          <w:tcPr>
            <w:tcW w:w="6481" w:type="dxa"/>
            <w:tcBorders/>
            <w:shd w:fill="CCEEFF" w:val="cle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Assets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35" w:type="dxa"/>
            <w:tcBorders/>
            <w:shd w:fill="CCEEFF" w:val="clear"/>
            <w:vAlign w:val="center"/>
          </w:tcPr>
          <w:p>
            <w:pPr>
              <w:pStyle w:val="TableContents"/>
              <w:bidi w:val="0"/>
              <w:spacing w:lineRule="auto" w:line="321" w:before="0" w:after="1"/>
              <w:ind w:left="0" w:right="0" w:hanging="0"/>
              <w:jc w:val="left"/>
              <w:rPr/>
            </w:pPr>
            <w:r>
              <w:rPr/>
              <w:t>​</w:t>
            </w:r>
          </w:p>
        </w:tc>
        <w:tc>
          <w:tcPr>
            <w:tcW w:w="1241" w:type="dxa"/>
            <w:tcBorders/>
            <w:shd w:fill="CCEEFF" w:val="clear"/>
            <w:vAlign w:val="center"/>
          </w:tcPr>
          <w:p>
            <w:pPr>
              <w:pStyle w:val="TableContents"/>
              <w:bidi w:val="0"/>
              <w:spacing w:lineRule="auto" w:line="321" w:before="0" w:after="1"/>
              <w:ind w:left="0" w:right="0" w:hanging="0"/>
              <w:jc w:val="left"/>
              <w:rPr/>
            </w:pPr>
            <w:r>
              <w:rPr/>
              <w:t> </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left"/>
              <w:rPr/>
            </w:pPr>
            <w:r>
              <w:rPr/>
              <w:t> </w:t>
            </w:r>
          </w:p>
        </w:tc>
      </w:tr>
      <w:tr>
        <w:trPr/>
        <w:tc>
          <w:tcPr>
            <w:tcW w:w="648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Current assets</w:t>
            </w:r>
          </w:p>
        </w:tc>
        <w:tc>
          <w:tcPr>
            <w:tcW w:w="346" w:type="dxa"/>
            <w:tcBorders/>
            <w:vAlign w:val="center"/>
          </w:tcPr>
          <w:p>
            <w:pPr>
              <w:pStyle w:val="TableContents"/>
              <w:bidi w:val="0"/>
              <w:spacing w:lineRule="auto" w:line="321" w:before="0" w:after="1"/>
              <w:ind w:left="0" w:right="0" w:hanging="0"/>
              <w:jc w:val="left"/>
              <w:rPr/>
            </w:pPr>
            <w:r>
              <w:rPr/>
              <w:t>​</w:t>
            </w:r>
          </w:p>
        </w:tc>
        <w:tc>
          <w:tcPr>
            <w:tcW w:w="335" w:type="dxa"/>
            <w:tcBorders/>
            <w:vAlign w:val="center"/>
          </w:tcPr>
          <w:p>
            <w:pPr>
              <w:pStyle w:val="TableContents"/>
              <w:bidi w:val="0"/>
              <w:spacing w:lineRule="auto" w:line="321" w:before="0" w:after="1"/>
              <w:ind w:left="0" w:right="0" w:hanging="0"/>
              <w:jc w:val="left"/>
              <w:rPr/>
            </w:pPr>
            <w:r>
              <w:rPr/>
              <w:t>​</w:t>
            </w:r>
          </w:p>
        </w:tc>
        <w:tc>
          <w:tcPr>
            <w:tcW w:w="1241" w:type="dxa"/>
            <w:tcBorders/>
            <w:vAlign w:val="center"/>
          </w:tcPr>
          <w:p>
            <w:pPr>
              <w:pStyle w:val="TableContents"/>
              <w:bidi w:val="0"/>
              <w:spacing w:lineRule="auto" w:line="321" w:before="0" w:after="1"/>
              <w:ind w:left="0" w:right="0" w:hanging="0"/>
              <w:jc w:val="left"/>
              <w:rPr/>
            </w:pPr>
            <w:r>
              <w:rPr/>
              <w:t> </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left"/>
              <w:rPr/>
            </w:pPr>
            <w:r>
              <w:rPr/>
              <w:t> </w:t>
            </w:r>
          </w:p>
        </w:tc>
      </w:tr>
      <w:tr>
        <w:trPr/>
        <w:tc>
          <w:tcPr>
            <w:tcW w:w="648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Cash and cash equivalents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3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24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2,616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17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2,507</w:t>
            </w:r>
          </w:p>
        </w:tc>
      </w:tr>
      <w:tr>
        <w:trPr/>
        <w:tc>
          <w:tcPr>
            <w:tcW w:w="648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Receivables from crude oil, natural gas, and natural gas liquids revenues</w:t>
            </w:r>
          </w:p>
        </w:tc>
        <w:tc>
          <w:tcPr>
            <w:tcW w:w="346" w:type="dxa"/>
            <w:tcBorders/>
            <w:vAlign w:val="center"/>
          </w:tcPr>
          <w:p>
            <w:pPr>
              <w:pStyle w:val="TableContents"/>
              <w:bidi w:val="0"/>
              <w:spacing w:lineRule="auto" w:line="321" w:before="0" w:after="1"/>
              <w:ind w:left="0" w:right="0" w:hanging="0"/>
              <w:jc w:val="left"/>
              <w:rPr/>
            </w:pPr>
            <w:r>
              <w:rPr/>
              <w:t>​</w:t>
            </w:r>
          </w:p>
        </w:tc>
        <w:tc>
          <w:tcPr>
            <w:tcW w:w="335" w:type="dxa"/>
            <w:tcBorders/>
            <w:vAlign w:val="center"/>
          </w:tcPr>
          <w:p>
            <w:pPr>
              <w:pStyle w:val="TableContents"/>
              <w:bidi w:val="0"/>
              <w:spacing w:lineRule="auto" w:line="321" w:before="0" w:after="1"/>
              <w:ind w:left="0" w:right="0" w:hanging="0"/>
              <w:jc w:val="left"/>
              <w:rPr/>
            </w:pPr>
            <w:r>
              <w:rPr/>
              <w:t>​</w:t>
            </w:r>
          </w:p>
        </w:tc>
        <w:tc>
          <w:tcPr>
            <w:tcW w:w="124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9,506</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10,804</w:t>
            </w:r>
          </w:p>
        </w:tc>
      </w:tr>
      <w:tr>
        <w:trPr/>
        <w:tc>
          <w:tcPr>
            <w:tcW w:w="648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Derivative contract assets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35" w:type="dxa"/>
            <w:tcBorders/>
            <w:shd w:fill="CCEEFF" w:val="clear"/>
            <w:vAlign w:val="center"/>
          </w:tcPr>
          <w:p>
            <w:pPr>
              <w:pStyle w:val="TableContents"/>
              <w:bidi w:val="0"/>
              <w:spacing w:lineRule="auto" w:line="321" w:before="0" w:after="1"/>
              <w:ind w:left="0" w:right="0" w:hanging="0"/>
              <w:jc w:val="left"/>
              <w:rPr/>
            </w:pPr>
            <w:r>
              <w:rPr/>
              <w:t>​</w:t>
            </w:r>
          </w:p>
        </w:tc>
        <w:tc>
          <w:tcPr>
            <w:tcW w:w="124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2,428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1,777</w:t>
            </w:r>
          </w:p>
        </w:tc>
      </w:tr>
      <w:tr>
        <w:trPr/>
        <w:tc>
          <w:tcPr>
            <w:tcW w:w="648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Prepaid expenses and other current assets</w:t>
            </w:r>
          </w:p>
        </w:tc>
        <w:tc>
          <w:tcPr>
            <w:tcW w:w="346" w:type="dxa"/>
            <w:tcBorders/>
            <w:vAlign w:val="center"/>
          </w:tcPr>
          <w:p>
            <w:pPr>
              <w:pStyle w:val="TableContents"/>
              <w:bidi w:val="0"/>
              <w:spacing w:lineRule="auto" w:line="321" w:before="0" w:after="1"/>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124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1,983</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2,287</w:t>
            </w:r>
          </w:p>
        </w:tc>
      </w:tr>
      <w:tr>
        <w:trPr/>
        <w:tc>
          <w:tcPr>
            <w:tcW w:w="648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current assets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24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16,533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17,375</w:t>
            </w:r>
          </w:p>
        </w:tc>
      </w:tr>
      <w:tr>
        <w:trPr/>
        <w:tc>
          <w:tcPr>
            <w:tcW w:w="648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Property and equipment, net of depletion, depreciation, and impairment</w:t>
            </w:r>
          </w:p>
        </w:tc>
        <w:tc>
          <w:tcPr>
            <w:tcW w:w="346" w:type="dxa"/>
            <w:tcBorders/>
            <w:vAlign w:val="center"/>
          </w:tcPr>
          <w:p>
            <w:pPr>
              <w:pStyle w:val="TableContents"/>
              <w:bidi w:val="0"/>
              <w:spacing w:lineRule="auto" w:line="321" w:before="0" w:after="1"/>
              <w:ind w:left="0" w:right="0" w:hanging="0"/>
              <w:jc w:val="left"/>
              <w:rPr/>
            </w:pPr>
            <w:r>
              <w:rPr/>
              <w:t>​</w:t>
            </w:r>
          </w:p>
        </w:tc>
        <w:tc>
          <w:tcPr>
            <w:tcW w:w="335" w:type="dxa"/>
            <w:tcBorders/>
            <w:vAlign w:val="center"/>
          </w:tcPr>
          <w:p>
            <w:pPr>
              <w:pStyle w:val="TableContents"/>
              <w:bidi w:val="0"/>
              <w:spacing w:lineRule="auto" w:line="321" w:before="0" w:after="1"/>
              <w:ind w:left="0" w:right="0" w:hanging="0"/>
              <w:jc w:val="left"/>
              <w:rPr/>
            </w:pPr>
            <w:r>
              <w:rPr/>
              <w:t>​</w:t>
            </w:r>
          </w:p>
        </w:tc>
        <w:tc>
          <w:tcPr>
            <w:tcW w:w="1241" w:type="dxa"/>
            <w:tcBorders/>
            <w:vAlign w:val="center"/>
          </w:tcPr>
          <w:p>
            <w:pPr>
              <w:pStyle w:val="TableContents"/>
              <w:bidi w:val="0"/>
              <w:spacing w:lineRule="auto" w:line="321" w:before="0" w:after="1"/>
              <w:ind w:left="0" w:right="0" w:hanging="0"/>
              <w:jc w:val="right"/>
              <w:rPr/>
            </w:pPr>
            <w:r>
              <w:rPr/>
              <w:t> </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pPr>
            <w:r>
              <w:rPr/>
              <w:t> </w:t>
            </w:r>
          </w:p>
        </w:tc>
      </w:tr>
      <w:tr>
        <w:trPr/>
        <w:tc>
          <w:tcPr>
            <w:tcW w:w="648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Oil and natural gas properties—full-cost method of accounting:</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35" w:type="dxa"/>
            <w:tcBorders/>
            <w:shd w:fill="CCEEFF" w:val="clear"/>
            <w:vAlign w:val="center"/>
          </w:tcPr>
          <w:p>
            <w:pPr>
              <w:pStyle w:val="TableContents"/>
              <w:bidi w:val="0"/>
              <w:spacing w:lineRule="auto" w:line="321" w:before="0" w:after="1"/>
              <w:ind w:left="0" w:right="0" w:hanging="0"/>
              <w:jc w:val="left"/>
              <w:rPr/>
            </w:pPr>
            <w:r>
              <w:rPr/>
              <w:t>​</w:t>
            </w:r>
          </w:p>
        </w:tc>
        <w:tc>
          <w:tcPr>
            <w:tcW w:w="124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pPr>
            <w:r>
              <w:rPr/>
              <w:t>​</w:t>
            </w:r>
          </w:p>
        </w:tc>
      </w:tr>
      <w:tr>
        <w:trPr/>
        <w:tc>
          <w:tcPr>
            <w:tcW w:w="648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Oil and natural gas properties, subject to amortization, net</w:t>
            </w:r>
          </w:p>
        </w:tc>
        <w:tc>
          <w:tcPr>
            <w:tcW w:w="346" w:type="dxa"/>
            <w:tcBorders/>
            <w:vAlign w:val="center"/>
          </w:tcPr>
          <w:p>
            <w:pPr>
              <w:pStyle w:val="TableContents"/>
              <w:bidi w:val="0"/>
              <w:spacing w:lineRule="auto" w:line="321" w:before="0" w:after="1"/>
              <w:ind w:left="0" w:right="0" w:hanging="0"/>
              <w:jc w:val="left"/>
              <w:rPr/>
            </w:pPr>
            <w:r>
              <w:rPr/>
              <w:t>​</w:t>
            </w:r>
          </w:p>
        </w:tc>
        <w:tc>
          <w:tcPr>
            <w:tcW w:w="335" w:type="dxa"/>
            <w:tcBorders/>
            <w:vAlign w:val="center"/>
          </w:tcPr>
          <w:p>
            <w:pPr>
              <w:pStyle w:val="TableContents"/>
              <w:bidi w:val="0"/>
              <w:spacing w:lineRule="auto" w:line="321" w:before="0" w:after="1"/>
              <w:ind w:left="0" w:right="0" w:hanging="0"/>
              <w:jc w:val="left"/>
              <w:rPr/>
            </w:pPr>
            <w:r>
              <w:rPr/>
              <w:t>​</w:t>
            </w:r>
          </w:p>
        </w:tc>
        <w:tc>
          <w:tcPr>
            <w:tcW w:w="124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147,998</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142,248</w:t>
            </w:r>
          </w:p>
        </w:tc>
      </w:tr>
      <w:tr>
        <w:trPr/>
        <w:tc>
          <w:tcPr>
            <w:tcW w:w="648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Oil and natural gas properties, not subject to amortization</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24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3,804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pPr>
            <w:r>
              <w:rPr/>
              <w:t>—</w:t>
            </w:r>
          </w:p>
        </w:tc>
      </w:tr>
      <w:tr>
        <w:trPr/>
        <w:tc>
          <w:tcPr>
            <w:tcW w:w="648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property and equipment, net</w:t>
            </w:r>
          </w:p>
        </w:tc>
        <w:tc>
          <w:tcPr>
            <w:tcW w:w="346" w:type="dxa"/>
            <w:tcBorders/>
            <w:vAlign w:val="center"/>
          </w:tcPr>
          <w:p>
            <w:pPr>
              <w:pStyle w:val="TableContents"/>
              <w:bidi w:val="0"/>
              <w:spacing w:lineRule="auto" w:line="321" w:before="0" w:after="1"/>
              <w:ind w:left="0" w:right="0" w:hanging="0"/>
              <w:jc w:val="left"/>
              <w:rPr/>
            </w:pPr>
            <w:r>
              <w:rPr/>
              <w:t>​</w:t>
            </w:r>
          </w:p>
        </w:tc>
        <w:tc>
          <w:tcPr>
            <w:tcW w:w="335" w:type="dxa"/>
            <w:tcBorders/>
            <w:vAlign w:val="center"/>
          </w:tcPr>
          <w:p>
            <w:pPr>
              <w:pStyle w:val="TableContents"/>
              <w:bidi w:val="0"/>
              <w:spacing w:lineRule="auto" w:line="321" w:before="0" w:after="1"/>
              <w:ind w:left="0" w:right="0" w:hanging="0"/>
              <w:jc w:val="left"/>
              <w:rPr/>
            </w:pPr>
            <w:r>
              <w:rPr/>
              <w:t>​</w:t>
            </w:r>
          </w:p>
        </w:tc>
        <w:tc>
          <w:tcPr>
            <w:tcW w:w="124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151,802</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142,248</w:t>
            </w:r>
          </w:p>
        </w:tc>
      </w:tr>
      <w:tr>
        <w:trPr/>
        <w:tc>
          <w:tcPr>
            <w:tcW w:w="6481"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35" w:type="dxa"/>
            <w:tcBorders/>
            <w:shd w:fill="CCEEFF" w:val="clear"/>
            <w:vAlign w:val="center"/>
          </w:tcPr>
          <w:p>
            <w:pPr>
              <w:pStyle w:val="TableContents"/>
              <w:bidi w:val="0"/>
              <w:spacing w:lineRule="auto" w:line="321" w:before="0" w:after="1"/>
              <w:ind w:left="0" w:right="0" w:hanging="0"/>
              <w:jc w:val="left"/>
              <w:rPr/>
            </w:pPr>
            <w:r>
              <w:rPr/>
              <w:t>​</w:t>
            </w:r>
          </w:p>
        </w:tc>
        <w:tc>
          <w:tcPr>
            <w:tcW w:w="124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pPr>
            <w:r>
              <w:rPr/>
              <w:t>​</w:t>
            </w:r>
          </w:p>
        </w:tc>
      </w:tr>
      <w:tr>
        <w:trPr/>
        <w:tc>
          <w:tcPr>
            <w:tcW w:w="648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Other noncurrent assets</w:t>
            </w:r>
          </w:p>
        </w:tc>
        <w:tc>
          <w:tcPr>
            <w:tcW w:w="346" w:type="dxa"/>
            <w:tcBorders/>
            <w:vAlign w:val="center"/>
          </w:tcPr>
          <w:p>
            <w:pPr>
              <w:pStyle w:val="TableContents"/>
              <w:bidi w:val="0"/>
              <w:spacing w:lineRule="auto" w:line="321" w:before="0" w:after="1"/>
              <w:ind w:left="0" w:right="0" w:hanging="0"/>
              <w:jc w:val="left"/>
              <w:rPr/>
            </w:pPr>
            <w:r>
              <w:rPr/>
              <w:t>​</w:t>
            </w:r>
          </w:p>
        </w:tc>
        <w:tc>
          <w:tcPr>
            <w:tcW w:w="335" w:type="dxa"/>
            <w:tcBorders/>
            <w:vAlign w:val="center"/>
          </w:tcPr>
          <w:p>
            <w:pPr>
              <w:pStyle w:val="TableContents"/>
              <w:bidi w:val="0"/>
              <w:spacing w:lineRule="auto" w:line="321" w:before="0" w:after="1"/>
              <w:ind w:left="0" w:right="0" w:hanging="0"/>
              <w:jc w:val="left"/>
              <w:rPr/>
            </w:pPr>
            <w:r>
              <w:rPr/>
              <w:t>​</w:t>
            </w:r>
          </w:p>
        </w:tc>
        <w:tc>
          <w:tcPr>
            <w:tcW w:w="124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pPr>
            <w:r>
              <w:rPr/>
              <w:t>​</w:t>
            </w:r>
          </w:p>
        </w:tc>
      </w:tr>
      <w:tr>
        <w:trPr/>
        <w:tc>
          <w:tcPr>
            <w:tcW w:w="648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Derivative contract assets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35" w:type="dxa"/>
            <w:tcBorders/>
            <w:shd w:fill="CCEEFF" w:val="clear"/>
            <w:vAlign w:val="center"/>
          </w:tcPr>
          <w:p>
            <w:pPr>
              <w:pStyle w:val="TableContents"/>
              <w:bidi w:val="0"/>
              <w:spacing w:lineRule="auto" w:line="321" w:before="0" w:after="1"/>
              <w:ind w:left="0" w:right="0" w:hanging="0"/>
              <w:jc w:val="left"/>
              <w:rPr/>
            </w:pPr>
            <w:r>
              <w:rPr/>
              <w:t>​</w:t>
            </w:r>
          </w:p>
        </w:tc>
        <w:tc>
          <w:tcPr>
            <w:tcW w:w="124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634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198</w:t>
            </w:r>
          </w:p>
        </w:tc>
      </w:tr>
      <w:tr>
        <w:trPr/>
        <w:tc>
          <w:tcPr>
            <w:tcW w:w="648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Other assets, net</w:t>
            </w:r>
          </w:p>
        </w:tc>
        <w:tc>
          <w:tcPr>
            <w:tcW w:w="346" w:type="dxa"/>
            <w:tcBorders/>
            <w:vAlign w:val="center"/>
          </w:tcPr>
          <w:p>
            <w:pPr>
              <w:pStyle w:val="TableContents"/>
              <w:bidi w:val="0"/>
              <w:spacing w:lineRule="auto" w:line="321" w:before="0" w:after="1"/>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124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791</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431</w:t>
            </w:r>
          </w:p>
        </w:tc>
      </w:tr>
      <w:tr>
        <w:trPr/>
        <w:tc>
          <w:tcPr>
            <w:tcW w:w="648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assets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24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169,760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173"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160,252</w:t>
            </w:r>
          </w:p>
        </w:tc>
      </w:tr>
      <w:tr>
        <w:trPr/>
        <w:tc>
          <w:tcPr>
            <w:tcW w:w="6481" w:type="dxa"/>
            <w:tcBorders/>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Liabilities and Stockholders' Equity</w:t>
            </w:r>
          </w:p>
        </w:tc>
        <w:tc>
          <w:tcPr>
            <w:tcW w:w="346" w:type="dxa"/>
            <w:tcBorders/>
            <w:vAlign w:val="center"/>
          </w:tcPr>
          <w:p>
            <w:pPr>
              <w:pStyle w:val="TableContents"/>
              <w:bidi w:val="0"/>
              <w:spacing w:lineRule="auto" w:line="321" w:before="0" w:after="1"/>
              <w:ind w:left="0" w:right="0" w:hanging="0"/>
              <w:jc w:val="left"/>
              <w:rPr/>
            </w:pPr>
            <w:r>
              <w:rPr/>
              <w:t>​</w:t>
            </w:r>
          </w:p>
        </w:tc>
        <w:tc>
          <w:tcPr>
            <w:tcW w:w="335" w:type="dxa"/>
            <w:tcBorders/>
            <w:vAlign w:val="center"/>
          </w:tcPr>
          <w:p>
            <w:pPr>
              <w:pStyle w:val="TableContents"/>
              <w:bidi w:val="0"/>
              <w:spacing w:lineRule="auto" w:line="321" w:before="0" w:after="1"/>
              <w:ind w:left="0" w:right="0" w:hanging="0"/>
              <w:jc w:val="left"/>
              <w:rPr/>
            </w:pPr>
            <w:r>
              <w:rPr/>
              <w:t>​</w:t>
            </w:r>
          </w:p>
        </w:tc>
        <w:tc>
          <w:tcPr>
            <w:tcW w:w="1241" w:type="dxa"/>
            <w:tcBorders/>
            <w:vAlign w:val="center"/>
          </w:tcPr>
          <w:p>
            <w:pPr>
              <w:pStyle w:val="TableContents"/>
              <w:bidi w:val="0"/>
              <w:spacing w:lineRule="auto" w:line="321" w:before="0" w:after="1"/>
              <w:ind w:left="0" w:right="0" w:hanging="0"/>
              <w:jc w:val="right"/>
              <w:rPr/>
            </w:pPr>
            <w:r>
              <w:rPr/>
              <w:t> </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pPr>
            <w:r>
              <w:rPr/>
              <w:t> </w:t>
            </w:r>
          </w:p>
        </w:tc>
      </w:tr>
      <w:tr>
        <w:trPr/>
        <w:tc>
          <w:tcPr>
            <w:tcW w:w="648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Current liabilities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35" w:type="dxa"/>
            <w:tcBorders/>
            <w:shd w:fill="CCEEFF" w:val="clear"/>
            <w:vAlign w:val="center"/>
          </w:tcPr>
          <w:p>
            <w:pPr>
              <w:pStyle w:val="TableContents"/>
              <w:bidi w:val="0"/>
              <w:spacing w:lineRule="auto" w:line="321" w:before="0" w:after="1"/>
              <w:ind w:left="0" w:right="0" w:hanging="0"/>
              <w:jc w:val="left"/>
              <w:rPr/>
            </w:pPr>
            <w:r>
              <w:rPr/>
              <w:t>​</w:t>
            </w:r>
          </w:p>
        </w:tc>
        <w:tc>
          <w:tcPr>
            <w:tcW w:w="1241" w:type="dxa"/>
            <w:tcBorders/>
            <w:shd w:fill="CCEEFF" w:val="clear"/>
            <w:vAlign w:val="center"/>
          </w:tcPr>
          <w:p>
            <w:pPr>
              <w:pStyle w:val="TableContents"/>
              <w:bidi w:val="0"/>
              <w:spacing w:lineRule="auto" w:line="321" w:before="0" w:after="1"/>
              <w:ind w:left="0" w:right="0" w:hanging="0"/>
              <w:jc w:val="right"/>
              <w:rPr/>
            </w:pPr>
            <w:r>
              <w:rPr/>
              <w:t> </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pPr>
            <w:r>
              <w:rPr/>
              <w:t> </w:t>
            </w:r>
          </w:p>
        </w:tc>
      </w:tr>
      <w:tr>
        <w:trPr/>
        <w:tc>
          <w:tcPr>
            <w:tcW w:w="648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Accounts payable</w:t>
            </w:r>
          </w:p>
        </w:tc>
        <w:tc>
          <w:tcPr>
            <w:tcW w:w="346" w:type="dxa"/>
            <w:tcBorders/>
            <w:vAlign w:val="center"/>
          </w:tcPr>
          <w:p>
            <w:pPr>
              <w:pStyle w:val="TableContents"/>
              <w:bidi w:val="0"/>
              <w:spacing w:lineRule="auto" w:line="321" w:before="0" w:after="1"/>
              <w:ind w:left="0" w:right="0" w:hanging="0"/>
              <w:jc w:val="left"/>
              <w:rPr/>
            </w:pPr>
            <w:r>
              <w:rPr/>
              <w:t>​</w:t>
            </w:r>
          </w:p>
        </w:tc>
        <w:tc>
          <w:tcPr>
            <w:tcW w:w="33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24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12,588</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17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12,901</w:t>
            </w:r>
          </w:p>
        </w:tc>
      </w:tr>
      <w:tr>
        <w:trPr/>
        <w:tc>
          <w:tcPr>
            <w:tcW w:w="648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Accrued liabilities and other</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35" w:type="dxa"/>
            <w:tcBorders/>
            <w:shd w:fill="CCEEFF" w:val="clear"/>
            <w:vAlign w:val="center"/>
          </w:tcPr>
          <w:p>
            <w:pPr>
              <w:pStyle w:val="TableContents"/>
              <w:bidi w:val="0"/>
              <w:spacing w:lineRule="auto" w:line="321" w:before="0" w:after="1"/>
              <w:ind w:left="0" w:right="0" w:hanging="0"/>
              <w:jc w:val="left"/>
              <w:rPr/>
            </w:pPr>
            <w:r>
              <w:rPr/>
              <w:t>​</w:t>
            </w:r>
          </w:p>
        </w:tc>
        <w:tc>
          <w:tcPr>
            <w:tcW w:w="124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5,619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6,909</w:t>
            </w:r>
          </w:p>
        </w:tc>
      </w:tr>
      <w:tr>
        <w:trPr/>
        <w:tc>
          <w:tcPr>
            <w:tcW w:w="648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Derivative contract liabilities</w:t>
            </w:r>
          </w:p>
        </w:tc>
        <w:tc>
          <w:tcPr>
            <w:tcW w:w="346" w:type="dxa"/>
            <w:tcBorders/>
            <w:vAlign w:val="center"/>
          </w:tcPr>
          <w:p>
            <w:pPr>
              <w:pStyle w:val="TableContents"/>
              <w:bidi w:val="0"/>
              <w:spacing w:lineRule="auto" w:line="321" w:before="0" w:after="1"/>
              <w:ind w:left="0" w:right="0" w:hanging="0"/>
              <w:jc w:val="left"/>
              <w:rPr/>
            </w:pPr>
            <w:r>
              <w:rPr/>
              <w:t>​</w:t>
            </w:r>
          </w:p>
        </w:tc>
        <w:tc>
          <w:tcPr>
            <w:tcW w:w="335" w:type="dxa"/>
            <w:tcBorders/>
            <w:vAlign w:val="center"/>
          </w:tcPr>
          <w:p>
            <w:pPr>
              <w:pStyle w:val="TableContents"/>
              <w:bidi w:val="0"/>
              <w:spacing w:lineRule="auto" w:line="321" w:before="0" w:after="1"/>
              <w:ind w:left="0" w:right="0" w:hanging="0"/>
              <w:jc w:val="left"/>
              <w:rPr/>
            </w:pPr>
            <w:r>
              <w:rPr/>
              <w:t>​</w:t>
            </w:r>
          </w:p>
        </w:tc>
        <w:tc>
          <w:tcPr>
            <w:tcW w:w="124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8,514</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1,577</w:t>
            </w:r>
          </w:p>
        </w:tc>
      </w:tr>
      <w:tr>
        <w:trPr/>
        <w:tc>
          <w:tcPr>
            <w:tcW w:w="648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State and federal taxes payable</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24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425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pPr>
            <w:r>
              <w:rPr/>
              <w:t>—</w:t>
            </w:r>
          </w:p>
        </w:tc>
      </w:tr>
      <w:tr>
        <w:trPr/>
        <w:tc>
          <w:tcPr>
            <w:tcW w:w="648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current liabilities</w:t>
            </w:r>
          </w:p>
        </w:tc>
        <w:tc>
          <w:tcPr>
            <w:tcW w:w="346" w:type="dxa"/>
            <w:tcBorders/>
            <w:vAlign w:val="center"/>
          </w:tcPr>
          <w:p>
            <w:pPr>
              <w:pStyle w:val="TableContents"/>
              <w:bidi w:val="0"/>
              <w:spacing w:lineRule="auto" w:line="321" w:before="0" w:after="1"/>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124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27,146</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21,387</w:t>
            </w:r>
          </w:p>
        </w:tc>
      </w:tr>
      <w:tr>
        <w:trPr/>
        <w:tc>
          <w:tcPr>
            <w:tcW w:w="648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Long term liabilities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35" w:type="dxa"/>
            <w:tcBorders/>
            <w:shd w:fill="CCEEFF" w:val="clear"/>
            <w:vAlign w:val="center"/>
          </w:tcPr>
          <w:p>
            <w:pPr>
              <w:pStyle w:val="TableContents"/>
              <w:bidi w:val="0"/>
              <w:spacing w:lineRule="auto" w:line="321" w:before="0" w:after="1"/>
              <w:ind w:left="0" w:right="0" w:hanging="0"/>
              <w:jc w:val="left"/>
              <w:rPr/>
            </w:pPr>
            <w:r>
              <w:rPr/>
              <w:t>​</w:t>
            </w:r>
          </w:p>
        </w:tc>
        <w:tc>
          <w:tcPr>
            <w:tcW w:w="1241" w:type="dxa"/>
            <w:tcBorders/>
            <w:shd w:fill="CCEEFF" w:val="clear"/>
            <w:vAlign w:val="center"/>
          </w:tcPr>
          <w:p>
            <w:pPr>
              <w:pStyle w:val="TableContents"/>
              <w:bidi w:val="0"/>
              <w:spacing w:lineRule="auto" w:line="321" w:before="0" w:after="1"/>
              <w:ind w:left="0" w:right="0" w:hanging="0"/>
              <w:jc w:val="right"/>
              <w:rPr/>
            </w:pPr>
            <w:r>
              <w:rPr/>
              <w:t> </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pPr>
            <w:r>
              <w:rPr/>
              <w:t> </w:t>
            </w:r>
          </w:p>
        </w:tc>
      </w:tr>
      <w:tr>
        <w:trPr/>
        <w:tc>
          <w:tcPr>
            <w:tcW w:w="648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Senior secured credit facility</w:t>
            </w:r>
          </w:p>
        </w:tc>
        <w:tc>
          <w:tcPr>
            <w:tcW w:w="346" w:type="dxa"/>
            <w:tcBorders/>
            <w:vAlign w:val="center"/>
          </w:tcPr>
          <w:p>
            <w:pPr>
              <w:pStyle w:val="TableContents"/>
              <w:bidi w:val="0"/>
              <w:spacing w:lineRule="auto" w:line="321" w:before="0" w:after="1"/>
              <w:ind w:left="0" w:right="0" w:hanging="0"/>
              <w:jc w:val="left"/>
              <w:rPr/>
            </w:pPr>
            <w:r>
              <w:rPr/>
              <w:t>​</w:t>
            </w:r>
          </w:p>
        </w:tc>
        <w:tc>
          <w:tcPr>
            <w:tcW w:w="335" w:type="dxa"/>
            <w:tcBorders/>
            <w:vAlign w:val="center"/>
          </w:tcPr>
          <w:p>
            <w:pPr>
              <w:pStyle w:val="TableContents"/>
              <w:bidi w:val="0"/>
              <w:spacing w:lineRule="auto" w:line="321" w:before="0" w:after="1"/>
              <w:ind w:left="0" w:right="0" w:hanging="0"/>
              <w:jc w:val="left"/>
              <w:rPr/>
            </w:pPr>
            <w:r>
              <w:rPr/>
              <w:t>​</w:t>
            </w:r>
          </w:p>
        </w:tc>
        <w:tc>
          <w:tcPr>
            <w:tcW w:w="124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56,500</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37,500</w:t>
            </w:r>
          </w:p>
        </w:tc>
      </w:tr>
      <w:tr>
        <w:trPr/>
        <w:tc>
          <w:tcPr>
            <w:tcW w:w="648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Deferred income taxes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35" w:type="dxa"/>
            <w:tcBorders/>
            <w:shd w:fill="CCEEFF" w:val="clear"/>
            <w:vAlign w:val="center"/>
          </w:tcPr>
          <w:p>
            <w:pPr>
              <w:pStyle w:val="TableContents"/>
              <w:bidi w:val="0"/>
              <w:spacing w:lineRule="auto" w:line="321" w:before="0" w:after="1"/>
              <w:ind w:left="0" w:right="0" w:hanging="0"/>
              <w:jc w:val="left"/>
              <w:rPr/>
            </w:pPr>
            <w:r>
              <w:rPr/>
              <w:t>​</w:t>
            </w:r>
          </w:p>
        </w:tc>
        <w:tc>
          <w:tcPr>
            <w:tcW w:w="124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3,829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6,234</w:t>
            </w:r>
          </w:p>
        </w:tc>
      </w:tr>
      <w:tr>
        <w:trPr/>
        <w:tc>
          <w:tcPr>
            <w:tcW w:w="648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Asset retirement obligations</w:t>
            </w:r>
          </w:p>
        </w:tc>
        <w:tc>
          <w:tcPr>
            <w:tcW w:w="346" w:type="dxa"/>
            <w:tcBorders/>
            <w:vAlign w:val="center"/>
          </w:tcPr>
          <w:p>
            <w:pPr>
              <w:pStyle w:val="TableContents"/>
              <w:bidi w:val="0"/>
              <w:spacing w:lineRule="auto" w:line="321" w:before="0" w:after="1"/>
              <w:ind w:left="0" w:right="0" w:hanging="0"/>
              <w:jc w:val="left"/>
              <w:rPr/>
            </w:pPr>
            <w:r>
              <w:rPr/>
              <w:t>​</w:t>
            </w:r>
          </w:p>
        </w:tc>
        <w:tc>
          <w:tcPr>
            <w:tcW w:w="335" w:type="dxa"/>
            <w:tcBorders/>
            <w:vAlign w:val="center"/>
          </w:tcPr>
          <w:p>
            <w:pPr>
              <w:pStyle w:val="TableContents"/>
              <w:bidi w:val="0"/>
              <w:spacing w:lineRule="auto" w:line="321" w:before="0" w:after="1"/>
              <w:ind w:left="0" w:right="0" w:hanging="0"/>
              <w:jc w:val="left"/>
              <w:rPr/>
            </w:pPr>
            <w:r>
              <w:rPr/>
              <w:t>​</w:t>
            </w:r>
          </w:p>
        </w:tc>
        <w:tc>
          <w:tcPr>
            <w:tcW w:w="124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22,700</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21,535</w:t>
            </w:r>
          </w:p>
        </w:tc>
      </w:tr>
      <w:tr>
        <w:trPr/>
        <w:tc>
          <w:tcPr>
            <w:tcW w:w="648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Derivative contract liabilities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35" w:type="dxa"/>
            <w:tcBorders/>
            <w:shd w:fill="CCEEFF" w:val="clear"/>
            <w:vAlign w:val="center"/>
          </w:tcPr>
          <w:p>
            <w:pPr>
              <w:pStyle w:val="TableContents"/>
              <w:bidi w:val="0"/>
              <w:spacing w:lineRule="auto" w:line="321" w:before="0" w:after="1"/>
              <w:ind w:left="0" w:right="0" w:hanging="0"/>
              <w:jc w:val="left"/>
              <w:rPr/>
            </w:pPr>
            <w:r>
              <w:rPr/>
              <w:t>​</w:t>
            </w:r>
          </w:p>
        </w:tc>
        <w:tc>
          <w:tcPr>
            <w:tcW w:w="124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808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1,783</w:t>
            </w:r>
          </w:p>
        </w:tc>
      </w:tr>
      <w:tr>
        <w:trPr/>
        <w:tc>
          <w:tcPr>
            <w:tcW w:w="648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Operating lease liability</w:t>
            </w:r>
          </w:p>
        </w:tc>
        <w:tc>
          <w:tcPr>
            <w:tcW w:w="346" w:type="dxa"/>
            <w:tcBorders/>
            <w:vAlign w:val="center"/>
          </w:tcPr>
          <w:p>
            <w:pPr>
              <w:pStyle w:val="TableContents"/>
              <w:bidi w:val="0"/>
              <w:spacing w:lineRule="auto" w:line="321" w:before="0" w:after="1"/>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124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369</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pPr>
            <w:r>
              <w:rPr/>
              <w:t>—</w:t>
            </w:r>
          </w:p>
        </w:tc>
      </w:tr>
      <w:tr>
        <w:trPr/>
        <w:tc>
          <w:tcPr>
            <w:tcW w:w="648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liabilities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24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111,352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88,439</w:t>
            </w:r>
          </w:p>
        </w:tc>
      </w:tr>
      <w:tr>
        <w:trPr/>
        <w:tc>
          <w:tcPr>
            <w:tcW w:w="648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Commitments and contingencies</w:t>
            </w:r>
          </w:p>
        </w:tc>
        <w:tc>
          <w:tcPr>
            <w:tcW w:w="346" w:type="dxa"/>
            <w:tcBorders/>
            <w:vAlign w:val="center"/>
          </w:tcPr>
          <w:p>
            <w:pPr>
              <w:pStyle w:val="TableContents"/>
              <w:bidi w:val="0"/>
              <w:spacing w:lineRule="auto" w:line="321" w:before="0" w:after="1"/>
              <w:ind w:left="0" w:right="0" w:hanging="0"/>
              <w:jc w:val="left"/>
              <w:rPr/>
            </w:pPr>
            <w:r>
              <w:rPr/>
              <w:t>​</w:t>
            </w:r>
          </w:p>
        </w:tc>
        <w:tc>
          <w:tcPr>
            <w:tcW w:w="335" w:type="dxa"/>
            <w:tcBorders/>
            <w:vAlign w:val="center"/>
          </w:tcPr>
          <w:p>
            <w:pPr>
              <w:pStyle w:val="TableContents"/>
              <w:bidi w:val="0"/>
              <w:spacing w:lineRule="auto" w:line="321" w:before="0" w:after="1"/>
              <w:ind w:left="0" w:right="0" w:hanging="0"/>
              <w:jc w:val="left"/>
              <w:rPr/>
            </w:pPr>
            <w:r>
              <w:rPr/>
              <w:t>​</w:t>
            </w:r>
          </w:p>
        </w:tc>
        <w:tc>
          <w:tcPr>
            <w:tcW w:w="124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pPr>
            <w:r>
              <w:rPr/>
              <w:t>​</w:t>
            </w:r>
          </w:p>
        </w:tc>
      </w:tr>
      <w:tr>
        <w:trPr/>
        <w:tc>
          <w:tcPr>
            <w:tcW w:w="648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Stockholders' equity</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35" w:type="dxa"/>
            <w:tcBorders/>
            <w:shd w:fill="CCEEFF" w:val="clear"/>
            <w:vAlign w:val="center"/>
          </w:tcPr>
          <w:p>
            <w:pPr>
              <w:pStyle w:val="TableContents"/>
              <w:bidi w:val="0"/>
              <w:spacing w:lineRule="auto" w:line="321" w:before="0" w:after="1"/>
              <w:ind w:left="0" w:right="0" w:hanging="0"/>
              <w:jc w:val="left"/>
              <w:rPr/>
            </w:pPr>
            <w:r>
              <w:rPr/>
              <w:t>​</w:t>
            </w:r>
          </w:p>
        </w:tc>
        <w:tc>
          <w:tcPr>
            <w:tcW w:w="1241" w:type="dxa"/>
            <w:tcBorders/>
            <w:shd w:fill="CCEEFF" w:val="clear"/>
            <w:vAlign w:val="center"/>
          </w:tcPr>
          <w:p>
            <w:pPr>
              <w:pStyle w:val="TableContents"/>
              <w:bidi w:val="0"/>
              <w:spacing w:lineRule="auto" w:line="321" w:before="0" w:after="1"/>
              <w:ind w:left="0" w:right="0" w:hanging="0"/>
              <w:jc w:val="right"/>
              <w:rPr/>
            </w:pPr>
            <w:r>
              <w:rPr/>
              <w:t> </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pPr>
            <w:r>
              <w:rPr/>
              <w:t> </w:t>
            </w:r>
          </w:p>
        </w:tc>
      </w:tr>
      <w:tr>
        <w:trPr/>
        <w:tc>
          <w:tcPr>
            <w:tcW w:w="648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Common stock; par value $0.001; 100,000,000 shares authorized: issued and</w:t>
            </w:r>
          </w:p>
        </w:tc>
        <w:tc>
          <w:tcPr>
            <w:tcW w:w="346" w:type="dxa"/>
            <w:tcBorders/>
            <w:vAlign w:val="center"/>
          </w:tcPr>
          <w:p>
            <w:pPr>
              <w:pStyle w:val="TableContents"/>
              <w:bidi w:val="0"/>
              <w:spacing w:lineRule="auto" w:line="321" w:before="0" w:after="1"/>
              <w:ind w:left="0" w:right="0" w:hanging="0"/>
              <w:jc w:val="left"/>
              <w:rPr/>
            </w:pPr>
            <w:r>
              <w:rPr/>
              <w:t>​</w:t>
            </w:r>
          </w:p>
        </w:tc>
        <w:tc>
          <w:tcPr>
            <w:tcW w:w="335" w:type="dxa"/>
            <w:tcBorders/>
            <w:vAlign w:val="center"/>
          </w:tcPr>
          <w:p>
            <w:pPr>
              <w:pStyle w:val="TableContents"/>
              <w:bidi w:val="0"/>
              <w:spacing w:lineRule="auto" w:line="321" w:before="0" w:after="1"/>
              <w:ind w:left="0" w:right="0" w:hanging="0"/>
              <w:jc w:val="left"/>
              <w:rPr/>
            </w:pPr>
            <w:r>
              <w:rPr/>
              <w:t>​</w:t>
            </w:r>
          </w:p>
        </w:tc>
        <w:tc>
          <w:tcPr>
            <w:tcW w:w="124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pPr>
            <w:r>
              <w:rPr/>
              <w:t>​</w:t>
            </w:r>
          </w:p>
        </w:tc>
      </w:tr>
      <w:tr>
        <w:trPr/>
        <w:tc>
          <w:tcPr>
            <w:tcW w:w="648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outstanding 35,821,410 and 34,337,188 shares as of March 31, 2026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35" w:type="dxa"/>
            <w:tcBorders/>
            <w:shd w:fill="CCEEFF" w:val="clear"/>
            <w:vAlign w:val="center"/>
          </w:tcPr>
          <w:p>
            <w:pPr>
              <w:pStyle w:val="TableContents"/>
              <w:bidi w:val="0"/>
              <w:spacing w:lineRule="auto" w:line="321" w:before="0" w:after="1"/>
              <w:ind w:left="0" w:right="0" w:hanging="0"/>
              <w:jc w:val="left"/>
              <w:rPr/>
            </w:pPr>
            <w:r>
              <w:rPr/>
              <w:t>​</w:t>
            </w:r>
          </w:p>
        </w:tc>
        <w:tc>
          <w:tcPr>
            <w:tcW w:w="124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pPr>
            <w:r>
              <w:rPr/>
              <w:t>​</w:t>
            </w:r>
          </w:p>
        </w:tc>
      </w:tr>
      <w:tr>
        <w:trPr/>
        <w:tc>
          <w:tcPr>
            <w:tcW w:w="648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and June 30, 2025, respectively</w:t>
            </w:r>
          </w:p>
        </w:tc>
        <w:tc>
          <w:tcPr>
            <w:tcW w:w="346" w:type="dxa"/>
            <w:tcBorders/>
            <w:vAlign w:val="center"/>
          </w:tcPr>
          <w:p>
            <w:pPr>
              <w:pStyle w:val="TableContents"/>
              <w:bidi w:val="0"/>
              <w:spacing w:lineRule="auto" w:line="321" w:before="0" w:after="1"/>
              <w:ind w:left="0" w:right="0" w:hanging="0"/>
              <w:jc w:val="left"/>
              <w:rPr/>
            </w:pPr>
            <w:r>
              <w:rPr/>
              <w:t>​</w:t>
            </w:r>
          </w:p>
        </w:tc>
        <w:tc>
          <w:tcPr>
            <w:tcW w:w="335" w:type="dxa"/>
            <w:tcBorders/>
            <w:vAlign w:val="center"/>
          </w:tcPr>
          <w:p>
            <w:pPr>
              <w:pStyle w:val="TableContents"/>
              <w:bidi w:val="0"/>
              <w:spacing w:lineRule="auto" w:line="321" w:before="0" w:after="1"/>
              <w:ind w:left="0" w:right="0" w:hanging="0"/>
              <w:jc w:val="left"/>
              <w:rPr/>
            </w:pPr>
            <w:r>
              <w:rPr/>
              <w:t>​</w:t>
            </w:r>
          </w:p>
        </w:tc>
        <w:tc>
          <w:tcPr>
            <w:tcW w:w="124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36</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vAlign w:val="center"/>
          </w:tcPr>
          <w:p>
            <w:pPr>
              <w:pStyle w:val="TableContents"/>
              <w:bidi w:val="0"/>
              <w:spacing w:lineRule="auto" w:line="321" w:before="0" w:after="1"/>
              <w:ind w:left="0" w:right="0" w:hanging="0"/>
              <w:jc w:val="left"/>
              <w:rPr/>
            </w:pPr>
            <w:r>
              <w:rPr/>
              <w:t>​</w:t>
            </w:r>
          </w:p>
        </w:tc>
        <w:tc>
          <w:tcPr>
            <w:tcW w:w="117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w:t>
            </w:r>
          </w:p>
        </w:tc>
      </w:tr>
      <w:tr>
        <w:trPr/>
        <w:tc>
          <w:tcPr>
            <w:tcW w:w="648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Additional paid-in capital</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35" w:type="dxa"/>
            <w:tcBorders/>
            <w:shd w:fill="CCEEFF" w:val="clear"/>
            <w:vAlign w:val="center"/>
          </w:tcPr>
          <w:p>
            <w:pPr>
              <w:pStyle w:val="TableContents"/>
              <w:bidi w:val="0"/>
              <w:spacing w:lineRule="auto" w:line="321" w:before="0" w:after="1"/>
              <w:ind w:left="0" w:right="0" w:hanging="0"/>
              <w:jc w:val="left"/>
              <w:rPr/>
            </w:pPr>
            <w:r>
              <w:rPr/>
              <w:t>​</w:t>
            </w:r>
          </w:p>
        </w:tc>
        <w:tc>
          <w:tcPr>
            <w:tcW w:w="124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52,899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shd w:fill="CCEEFF" w:val="clear"/>
            <w:vAlign w:val="center"/>
          </w:tcPr>
          <w:p>
            <w:pPr>
              <w:pStyle w:val="TableContents"/>
              <w:bidi w:val="0"/>
              <w:spacing w:lineRule="auto" w:line="321" w:before="0" w:after="1"/>
              <w:ind w:left="0" w:right="0" w:hanging="0"/>
              <w:jc w:val="left"/>
              <w:rPr/>
            </w:pPr>
            <w:r>
              <w:rPr/>
              <w:t>​</w:t>
            </w:r>
          </w:p>
        </w:tc>
        <w:tc>
          <w:tcPr>
            <w:tcW w:w="117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46,650</w:t>
            </w:r>
          </w:p>
        </w:tc>
      </w:tr>
      <w:tr>
        <w:trPr/>
        <w:tc>
          <w:tcPr>
            <w:tcW w:w="648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Retained earnings</w:t>
            </w:r>
          </w:p>
        </w:tc>
        <w:tc>
          <w:tcPr>
            <w:tcW w:w="346" w:type="dxa"/>
            <w:tcBorders/>
            <w:vAlign w:val="center"/>
          </w:tcPr>
          <w:p>
            <w:pPr>
              <w:pStyle w:val="TableContents"/>
              <w:bidi w:val="0"/>
              <w:spacing w:lineRule="auto" w:line="321" w:before="0" w:after="1"/>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124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5,473</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25,129</w:t>
            </w:r>
          </w:p>
        </w:tc>
      </w:tr>
      <w:tr>
        <w:trPr/>
        <w:tc>
          <w:tcPr>
            <w:tcW w:w="648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stockholders' equity</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24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58,408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71,813</w:t>
            </w:r>
          </w:p>
        </w:tc>
      </w:tr>
      <w:tr>
        <w:trPr/>
        <w:tc>
          <w:tcPr>
            <w:tcW w:w="648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liabilities and stockholders' equity</w:t>
            </w:r>
          </w:p>
        </w:tc>
        <w:tc>
          <w:tcPr>
            <w:tcW w:w="346" w:type="dxa"/>
            <w:tcBorders/>
            <w:vAlign w:val="center"/>
          </w:tcPr>
          <w:p>
            <w:pPr>
              <w:pStyle w:val="TableContents"/>
              <w:bidi w:val="0"/>
              <w:spacing w:lineRule="auto" w:line="321" w:before="0" w:after="1"/>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24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169,760</w:t>
            </w:r>
          </w:p>
        </w:tc>
        <w:tc>
          <w:tcPr>
            <w:tcW w:w="346" w:type="dxa"/>
            <w:tcBorders/>
            <w:vAlign w:val="center"/>
          </w:tcPr>
          <w:p>
            <w:pPr>
              <w:pStyle w:val="TableContents"/>
              <w:bidi w:val="0"/>
              <w:spacing w:lineRule="auto" w:line="321"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173" w:type="dxa"/>
            <w:tcBorders>
              <w:bottom w:val="double" w:sz="6" w:space="0" w:color="000000"/>
            </w:tcBorders>
            <w:tcMar>
              <w:bottom w:w="28" w:type="dxa"/>
            </w:tcMar>
            <w:vAlign w:val="center"/>
          </w:tcPr>
          <w:p>
            <w:pPr>
              <w:pStyle w:val="TableContents"/>
              <w:bidi w:val="0"/>
              <w:spacing w:lineRule="auto" w:line="321" w:before="0" w:after="1"/>
              <w:ind w:left="0" w:right="45" w:hanging="0"/>
              <w:jc w:val="right"/>
              <w:rPr>
                <w:rFonts w:ascii="Segoe UI" w:hAnsi="Segoe UI"/>
                <w:sz w:val="16"/>
              </w:rPr>
            </w:pPr>
            <w:r>
              <w:rPr>
                <w:rFonts w:ascii="Segoe UI" w:hAnsi="Segoe UI"/>
                <w:sz w:val="16"/>
              </w:rPr>
              <w:t>160,252</w:t>
            </w:r>
          </w:p>
        </w:tc>
      </w:tr>
    </w:tbl>
    <w:p>
      <w:pPr>
        <w:pStyle w:val="TextBody"/>
        <w:bidi w:val="0"/>
        <w:spacing w:lineRule="auto" w:line="321" w:before="0" w:after="0"/>
        <w:ind w:left="0" w:right="0" w:hanging="0"/>
        <w:jc w:val="left"/>
        <w:rPr/>
      </w:pPr>
      <w:r>
        <w:rPr/>
        <w:t>​</w:t>
      </w:r>
    </w:p>
    <w:p>
      <w:pPr>
        <w:pStyle w:val="TextBody"/>
        <w:bidi w:val="0"/>
        <w:spacing w:lineRule="auto" w:line="321" w:before="0" w:after="0"/>
        <w:ind w:left="0" w:right="0" w:hanging="0"/>
        <w:jc w:val="left"/>
        <w:rPr/>
      </w:pPr>
      <w:r>
        <w:rPr/>
        <w:t>​</w:t>
      </w:r>
    </w:p>
    <w:p>
      <w:pPr>
        <w:pStyle w:val="TextBody"/>
        <w:bidi w:val="0"/>
        <w:spacing w:lineRule="auto" w:line="321" w:before="0" w:after="0"/>
        <w:ind w:left="0" w:right="0" w:hanging="0"/>
        <w:jc w:val="left"/>
        <w:rPr/>
      </w:pPr>
      <w:r>
        <w:rPr/>
        <w:t>​</w:t>
      </w:r>
    </w:p>
    <w:p>
      <w:pPr>
        <w:pStyle w:val="TextBody"/>
        <w:bidi w:val="0"/>
        <w:spacing w:lineRule="auto" w:line="285" w:before="0" w:after="0"/>
        <w:ind w:left="0" w:right="0" w:hanging="0"/>
        <w:jc w:val="center"/>
        <w:rPr>
          <w:rFonts w:ascii="Segoe UI" w:hAnsi="Segoe UI"/>
          <w:sz w:val="22"/>
        </w:rPr>
      </w:pPr>
      <w:r>
        <w:rPr>
          <w:rFonts w:ascii="Segoe UI" w:hAnsi="Segoe UI"/>
          <w:sz w:val="22"/>
        </w:rPr>
        <w:t>8</w:t>
      </w:r>
    </w:p>
    <w:p>
      <w:pPr>
        <w:pStyle w:val="HorizontalLine"/>
        <w:pBdr>
          <w:bottom w:val="double" w:sz="2" w:space="0" w:color="808080"/>
        </w:pBdr>
        <w:bidi w:val="0"/>
        <w:spacing w:before="0" w:after="283"/>
        <w:jc w:val="left"/>
        <w:rPr/>
      </w:pPr>
      <w:r>
        <w:rPr/>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Evolution Petroleum Corporation</w:t>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Condensed Consolidated Statements of Cash Flows (Unaudited)</w:t>
      </w:r>
    </w:p>
    <w:p>
      <w:pPr>
        <w:pStyle w:val="TextBody"/>
        <w:bidi w:val="0"/>
        <w:spacing w:lineRule="auto" w:line="321" w:before="0" w:after="300"/>
        <w:ind w:left="0" w:right="0" w:hanging="0"/>
        <w:jc w:val="center"/>
        <w:rPr>
          <w:rFonts w:ascii="Segoe UI Semibold" w:hAnsi="Segoe UI Semibold"/>
          <w:sz w:val="22"/>
        </w:rPr>
      </w:pPr>
      <w:r>
        <w:rPr>
          <w:rFonts w:ascii="Segoe UI Semibold" w:hAnsi="Segoe UI Semibold"/>
          <w:sz w:val="22"/>
        </w:rPr>
        <w:t>(In thousands)</w:t>
      </w:r>
    </w:p>
    <w:tbl>
      <w:tblPr>
        <w:tblW w:w="10205" w:type="dxa"/>
        <w:jc w:val="left"/>
        <w:tblInd w:w="0" w:type="dxa"/>
        <w:tblLayout w:type="fixed"/>
        <w:tblCellMar>
          <w:top w:w="0" w:type="dxa"/>
          <w:left w:w="0" w:type="dxa"/>
          <w:bottom w:w="0" w:type="dxa"/>
          <w:right w:w="0" w:type="dxa"/>
        </w:tblCellMar>
      </w:tblPr>
      <w:tblGrid>
        <w:gridCol w:w="4447"/>
        <w:gridCol w:w="109"/>
        <w:gridCol w:w="211"/>
        <w:gridCol w:w="662"/>
        <w:gridCol w:w="109"/>
        <w:gridCol w:w="211"/>
        <w:gridCol w:w="683"/>
        <w:gridCol w:w="346"/>
        <w:gridCol w:w="301"/>
        <w:gridCol w:w="905"/>
        <w:gridCol w:w="109"/>
        <w:gridCol w:w="211"/>
        <w:gridCol w:w="767"/>
        <w:gridCol w:w="109"/>
        <w:gridCol w:w="211"/>
        <w:gridCol w:w="814"/>
      </w:tblGrid>
      <w:tr>
        <w:trPr/>
        <w:tc>
          <w:tcPr>
            <w:tcW w:w="4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823845" cy="175260"/>
                      <wp:effectExtent l="0" t="0" r="0" b="0"/>
                      <wp:wrapNone/>
                      <wp:docPr id="38" name="Frame37"/>
                      <a:graphic xmlns:a="http://schemas.openxmlformats.org/drawingml/2006/main">
                        <a:graphicData uri="http://schemas.microsoft.com/office/word/2010/wordprocessingShape">
                          <wps:wsp>
                            <wps:cNvSpPr txBox="1"/>
                            <wps:spPr>
                              <a:xfrm>
                                <a:off x="0" y="0"/>
                                <a:ext cx="282384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20370" cy="175260"/>
                      <wp:effectExtent l="0" t="0" r="0" b="0"/>
                      <wp:wrapNone/>
                      <wp:docPr id="41" name="Frame40"/>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3"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33705" cy="175260"/>
                      <wp:effectExtent l="0" t="0" r="0" b="0"/>
                      <wp:wrapNone/>
                      <wp:docPr id="44" name="Frame43"/>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91135" cy="175260"/>
                      <wp:effectExtent l="0" t="0" r="0" b="0"/>
                      <wp:wrapNone/>
                      <wp:docPr id="46" name="Frame45"/>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74675" cy="175260"/>
                      <wp:effectExtent l="0" t="0" r="0" b="0"/>
                      <wp:wrapNone/>
                      <wp:docPr id="47" name="Frame46"/>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87045" cy="175260"/>
                      <wp:effectExtent l="0" t="0" r="0" b="0"/>
                      <wp:wrapNone/>
                      <wp:docPr id="50" name="Frame49"/>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215" cy="175260"/>
                      <wp:effectExtent l="0" t="0" r="0" b="0"/>
                      <wp:wrapNone/>
                      <wp:docPr id="51"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16890" cy="175260"/>
                      <wp:effectExtent l="0" t="0" r="0" b="0"/>
                      <wp:wrapNone/>
                      <wp:docPr id="53" name="Frame52"/>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r>
      <w:tr>
        <w:trPr/>
        <w:tc>
          <w:tcPr>
            <w:tcW w:w="4447" w:type="dxa"/>
            <w:tcBorders/>
            <w:vAlign w:val="center"/>
          </w:tcPr>
          <w:p>
            <w:pPr>
              <w:pStyle w:val="TableContents"/>
              <w:bidi w:val="0"/>
              <w:spacing w:lineRule="auto" w:line="321" w:before="0" w:after="1"/>
              <w:ind w:left="0" w:right="0" w:hanging="0"/>
              <w:jc w:val="left"/>
              <w:rPr>
                <w:color w:val="0563C1"/>
              </w:rPr>
            </w:pPr>
            <w:r>
              <w:rPr>
                <w:color w:val="0563C1"/>
              </w:rPr>
              <w:t>​</w:t>
            </w:r>
          </w:p>
        </w:tc>
        <w:tc>
          <w:tcPr>
            <w:tcW w:w="109" w:type="dxa"/>
            <w:tcBorders/>
            <w:vAlign w:val="center"/>
          </w:tcPr>
          <w:p>
            <w:pPr>
              <w:pStyle w:val="TableContents"/>
              <w:bidi w:val="0"/>
              <w:spacing w:lineRule="auto" w:line="321" w:before="0" w:after="1"/>
              <w:ind w:left="0" w:right="0" w:hanging="0"/>
              <w:jc w:val="left"/>
              <w:rPr/>
            </w:pPr>
            <w:r>
              <w:rPr/>
              <w:t>​</w:t>
            </w:r>
          </w:p>
        </w:tc>
        <w:tc>
          <w:tcPr>
            <w:tcW w:w="3428" w:type="dxa"/>
            <w:gridSpan w:val="8"/>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 xml:space="preserve">Three Months Ended </w:t>
            </w:r>
          </w:p>
        </w:tc>
        <w:tc>
          <w:tcPr>
            <w:tcW w:w="109" w:type="dxa"/>
            <w:tcBorders/>
            <w:vAlign w:val="center"/>
          </w:tcPr>
          <w:p>
            <w:pPr>
              <w:pStyle w:val="TableContents"/>
              <w:bidi w:val="0"/>
              <w:spacing w:lineRule="auto" w:line="321" w:before="0" w:after="1"/>
              <w:ind w:left="0" w:right="0" w:hanging="0"/>
              <w:jc w:val="left"/>
              <w:rPr/>
            </w:pPr>
            <w:r>
              <w:rPr/>
              <w:t>​</w:t>
            </w:r>
          </w:p>
        </w:tc>
        <w:tc>
          <w:tcPr>
            <w:tcW w:w="2112"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Nine Months Ended</w:t>
            </w:r>
          </w:p>
        </w:tc>
      </w:tr>
      <w:tr>
        <w:trPr/>
        <w:tc>
          <w:tcPr>
            <w:tcW w:w="4447" w:type="dxa"/>
            <w:tcBorders/>
            <w:vAlign w:val="center"/>
          </w:tcPr>
          <w:p>
            <w:pPr>
              <w:pStyle w:val="TableContents"/>
              <w:bidi w:val="0"/>
              <w:spacing w:lineRule="auto" w:line="321" w:before="0" w:after="1"/>
              <w:ind w:left="0" w:right="0" w:hanging="0"/>
              <w:jc w:val="left"/>
              <w:rPr/>
            </w:pPr>
            <w:r>
              <w:rPr/>
              <w:t> </w:t>
            </w:r>
          </w:p>
        </w:tc>
        <w:tc>
          <w:tcPr>
            <w:tcW w:w="109" w:type="dxa"/>
            <w:tcBorders/>
            <w:vAlign w:val="center"/>
          </w:tcPr>
          <w:p>
            <w:pPr>
              <w:pStyle w:val="TableContents"/>
              <w:bidi w:val="0"/>
              <w:spacing w:lineRule="auto" w:line="321" w:before="0" w:after="1"/>
              <w:ind w:left="0" w:right="0" w:hanging="0"/>
              <w:jc w:val="left"/>
              <w:rPr/>
            </w:pPr>
            <w:r>
              <w:rPr/>
              <w:t>​</w:t>
            </w:r>
          </w:p>
        </w:tc>
        <w:tc>
          <w:tcPr>
            <w:tcW w:w="1876"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March 31, </w:t>
            </w:r>
          </w:p>
        </w:tc>
        <w:tc>
          <w:tcPr>
            <w:tcW w:w="346" w:type="dxa"/>
            <w:tcBorders/>
            <w:vAlign w:val="center"/>
          </w:tcPr>
          <w:p>
            <w:pPr>
              <w:pStyle w:val="TableContents"/>
              <w:bidi w:val="0"/>
              <w:spacing w:lineRule="auto" w:line="321" w:before="0" w:after="1"/>
              <w:ind w:left="0" w:right="0" w:hanging="0"/>
              <w:jc w:val="left"/>
              <w:rPr/>
            </w:pPr>
            <w:r>
              <w:rPr/>
              <w:t>​</w:t>
            </w:r>
          </w:p>
        </w:tc>
        <w:tc>
          <w:tcPr>
            <w:tcW w:w="1206"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December 31,</w:t>
            </w:r>
          </w:p>
        </w:tc>
        <w:tc>
          <w:tcPr>
            <w:tcW w:w="109" w:type="dxa"/>
            <w:tcBorders/>
            <w:vAlign w:val="center"/>
          </w:tcPr>
          <w:p>
            <w:pPr>
              <w:pStyle w:val="TableContents"/>
              <w:bidi w:val="0"/>
              <w:spacing w:lineRule="auto" w:line="321" w:before="0" w:after="1"/>
              <w:ind w:left="0" w:right="0" w:hanging="0"/>
              <w:jc w:val="left"/>
              <w:rPr/>
            </w:pPr>
            <w:r>
              <w:rPr/>
              <w:t>​</w:t>
            </w:r>
          </w:p>
        </w:tc>
        <w:tc>
          <w:tcPr>
            <w:tcW w:w="2112"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March 31, </w:t>
            </w:r>
          </w:p>
        </w:tc>
      </w:tr>
      <w:tr>
        <w:trPr/>
        <w:tc>
          <w:tcPr>
            <w:tcW w:w="4447"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873"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894"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c>
          <w:tcPr>
            <w:tcW w:w="346" w:type="dxa"/>
            <w:tcBorders/>
            <w:vAlign w:val="center"/>
          </w:tcPr>
          <w:p>
            <w:pPr>
              <w:pStyle w:val="TableContents"/>
              <w:bidi w:val="0"/>
              <w:spacing w:lineRule="auto" w:line="321" w:before="0" w:after="1"/>
              <w:ind w:left="0" w:right="0" w:hanging="0"/>
              <w:jc w:val="left"/>
              <w:rPr/>
            </w:pPr>
            <w:r>
              <w:rPr/>
              <w:t>  ​ ​ ​</w:t>
            </w:r>
          </w:p>
        </w:tc>
        <w:tc>
          <w:tcPr>
            <w:tcW w:w="1206"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c>
          <w:tcPr>
            <w:tcW w:w="109" w:type="dxa"/>
            <w:tcBorders/>
            <w:vAlign w:val="center"/>
          </w:tcPr>
          <w:p>
            <w:pPr>
              <w:pStyle w:val="TableContents"/>
              <w:bidi w:val="0"/>
              <w:spacing w:lineRule="auto" w:line="321" w:before="0" w:after="1"/>
              <w:ind w:left="0" w:right="0" w:hanging="0"/>
              <w:jc w:val="left"/>
              <w:rPr/>
            </w:pPr>
            <w:r>
              <w:rPr/>
              <w:t>​</w:t>
            </w:r>
          </w:p>
        </w:tc>
        <w:tc>
          <w:tcPr>
            <w:tcW w:w="978"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1025"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r>
      <w:tr>
        <w:trPr/>
        <w:tc>
          <w:tcPr>
            <w:tcW w:w="4447"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Cash flows from operating activities: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left"/>
              <w:rPr/>
            </w:pPr>
            <w:r>
              <w:rPr/>
              <w:t> </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3" w:type="dxa"/>
            <w:tcBorders/>
            <w:shd w:fill="CCEEFF" w:val="clear"/>
            <w:vAlign w:val="center"/>
          </w:tcPr>
          <w:p>
            <w:pPr>
              <w:pStyle w:val="TableContents"/>
              <w:bidi w:val="0"/>
              <w:spacing w:lineRule="auto" w:line="321" w:before="0" w:after="1"/>
              <w:ind w:left="0" w:right="0" w:hanging="0"/>
              <w:jc w:val="left"/>
              <w:rPr/>
            </w:pPr>
            <w:r>
              <w:rPr/>
              <w:t> </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1" w:type="dxa"/>
            <w:tcBorders/>
            <w:shd w:fill="CCEEFF" w:val="clear"/>
            <w:vAlign w:val="center"/>
          </w:tcPr>
          <w:p>
            <w:pPr>
              <w:pStyle w:val="TableContents"/>
              <w:bidi w:val="0"/>
              <w:spacing w:lineRule="auto" w:line="321" w:before="0" w:after="1"/>
              <w:ind w:left="0" w:right="0" w:hanging="0"/>
              <w:jc w:val="left"/>
              <w:rPr/>
            </w:pPr>
            <w:r>
              <w:rPr/>
              <w:t>​</w:t>
            </w:r>
          </w:p>
        </w:tc>
        <w:tc>
          <w:tcPr>
            <w:tcW w:w="905"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left"/>
              <w:rPr/>
            </w:pPr>
            <w:r>
              <w:rPr/>
              <w:t> </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4" w:type="dxa"/>
            <w:tcBorders/>
            <w:shd w:fill="CCEEFF" w:val="clear"/>
            <w:vAlign w:val="center"/>
          </w:tcPr>
          <w:p>
            <w:pPr>
              <w:pStyle w:val="TableContents"/>
              <w:bidi w:val="0"/>
              <w:spacing w:lineRule="auto" w:line="321" w:before="0" w:after="1"/>
              <w:ind w:left="0" w:right="0" w:hanging="0"/>
              <w:jc w:val="left"/>
              <w:rPr/>
            </w:pPr>
            <w:r>
              <w:rPr/>
              <w:t> </w:t>
            </w:r>
          </w:p>
        </w:tc>
      </w:tr>
      <w:tr>
        <w:trPr/>
        <w:tc>
          <w:tcPr>
            <w:tcW w:w="4447"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 xml:space="preserve">Net income (loss) </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2"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(8,932)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(2,179)</w:t>
            </w:r>
          </w:p>
        </w:tc>
        <w:tc>
          <w:tcPr>
            <w:tcW w:w="346" w:type="dxa"/>
            <w:tcBorders/>
            <w:vAlign w:val="center"/>
          </w:tcPr>
          <w:p>
            <w:pPr>
              <w:pStyle w:val="TableContents"/>
              <w:bidi w:val="0"/>
              <w:spacing w:lineRule="auto" w:line="321" w:before="0" w:after="1"/>
              <w:ind w:left="0" w:right="0" w:hanging="0"/>
              <w:jc w:val="left"/>
              <w:rPr/>
            </w:pPr>
            <w:r>
              <w:rPr/>
              <w:t>​</w:t>
            </w:r>
          </w:p>
        </w:tc>
        <w:tc>
          <w:tcPr>
            <w:tcW w:w="30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90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1,065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(7,043)</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814"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(1,939)</w:t>
            </w:r>
          </w:p>
        </w:tc>
      </w:tr>
      <w:tr>
        <w:trPr/>
        <w:tc>
          <w:tcPr>
            <w:tcW w:w="4447"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Adjustments to reconcile net income (loss) to net cash provided by operating activities: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3"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1" w:type="dxa"/>
            <w:tcBorders/>
            <w:shd w:fill="CCEEFF" w:val="clear"/>
            <w:vAlign w:val="center"/>
          </w:tcPr>
          <w:p>
            <w:pPr>
              <w:pStyle w:val="TableContents"/>
              <w:bidi w:val="0"/>
              <w:spacing w:lineRule="auto" w:line="321" w:before="0" w:after="1"/>
              <w:ind w:left="0" w:right="0" w:hanging="0"/>
              <w:jc w:val="left"/>
              <w:rPr/>
            </w:pPr>
            <w:r>
              <w:rPr/>
              <w:t>​</w:t>
            </w:r>
          </w:p>
        </w:tc>
        <w:tc>
          <w:tcPr>
            <w:tcW w:w="905"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4" w:type="dxa"/>
            <w:tcBorders/>
            <w:shd w:fill="CCEEFF" w:val="clear"/>
            <w:vAlign w:val="center"/>
          </w:tcPr>
          <w:p>
            <w:pPr>
              <w:pStyle w:val="TableContents"/>
              <w:bidi w:val="0"/>
              <w:spacing w:lineRule="auto" w:line="321" w:before="0" w:after="1"/>
              <w:ind w:left="0" w:right="0" w:hanging="0"/>
              <w:jc w:val="left"/>
              <w:rPr/>
            </w:pPr>
            <w:r>
              <w:rPr/>
              <w:t>​</w:t>
            </w:r>
          </w:p>
        </w:tc>
      </w:tr>
      <w:tr>
        <w:trPr/>
        <w:tc>
          <w:tcPr>
            <w:tcW w:w="4447"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Depletion, depreciation, and accretion</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5,294</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5,014</w:t>
            </w:r>
          </w:p>
        </w:tc>
        <w:tc>
          <w:tcPr>
            <w:tcW w:w="346" w:type="dxa"/>
            <w:tcBorders/>
            <w:vAlign w:val="center"/>
          </w:tcPr>
          <w:p>
            <w:pPr>
              <w:pStyle w:val="TableContents"/>
              <w:bidi w:val="0"/>
              <w:spacing w:lineRule="auto" w:line="321" w:before="0" w:after="1"/>
              <w:ind w:left="0" w:right="0" w:hanging="0"/>
              <w:jc w:val="left"/>
              <w:rPr/>
            </w:pPr>
            <w:r>
              <w:rPr/>
              <w:t>​</w:t>
            </w:r>
          </w:p>
        </w:tc>
        <w:tc>
          <w:tcPr>
            <w:tcW w:w="301" w:type="dxa"/>
            <w:tcBorders/>
            <w:vAlign w:val="center"/>
          </w:tcPr>
          <w:p>
            <w:pPr>
              <w:pStyle w:val="TableContents"/>
              <w:bidi w:val="0"/>
              <w:spacing w:lineRule="auto" w:line="321" w:before="0" w:after="1"/>
              <w:ind w:left="0" w:right="0" w:hanging="0"/>
              <w:jc w:val="left"/>
              <w:rPr/>
            </w:pPr>
            <w:r>
              <w:rPr/>
              <w:t>​</w:t>
            </w:r>
          </w:p>
        </w:tc>
        <w:tc>
          <w:tcPr>
            <w:tcW w:w="90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5,919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17,174</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4"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16,172</w:t>
            </w:r>
          </w:p>
        </w:tc>
      </w:tr>
      <w:tr>
        <w:trPr/>
        <w:tc>
          <w:tcPr>
            <w:tcW w:w="4447"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Stock-based compensation</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595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642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1" w:type="dxa"/>
            <w:tcBorders/>
            <w:shd w:fill="CCEEFF" w:val="clear"/>
            <w:vAlign w:val="center"/>
          </w:tcPr>
          <w:p>
            <w:pPr>
              <w:pStyle w:val="TableContents"/>
              <w:bidi w:val="0"/>
              <w:spacing w:lineRule="auto" w:line="321" w:before="0" w:after="1"/>
              <w:ind w:left="0" w:right="0" w:hanging="0"/>
              <w:jc w:val="left"/>
              <w:rPr/>
            </w:pPr>
            <w:r>
              <w:rPr/>
              <w:t>​</w:t>
            </w:r>
          </w:p>
        </w:tc>
        <w:tc>
          <w:tcPr>
            <w:tcW w:w="905"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613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1,745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4"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1,860</w:t>
            </w:r>
          </w:p>
        </w:tc>
      </w:tr>
      <w:tr>
        <w:trPr/>
        <w:tc>
          <w:tcPr>
            <w:tcW w:w="4447"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Settlement of asset retirement obligations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(66)</w:t>
            </w:r>
          </w:p>
        </w:tc>
        <w:tc>
          <w:tcPr>
            <w:tcW w:w="346" w:type="dxa"/>
            <w:tcBorders/>
            <w:vAlign w:val="center"/>
          </w:tcPr>
          <w:p>
            <w:pPr>
              <w:pStyle w:val="TableContents"/>
              <w:bidi w:val="0"/>
              <w:spacing w:lineRule="auto" w:line="321" w:before="0" w:after="1"/>
              <w:ind w:left="0" w:right="0" w:hanging="0"/>
              <w:jc w:val="left"/>
              <w:rPr/>
            </w:pPr>
            <w:r>
              <w:rPr/>
              <w:t>​</w:t>
            </w:r>
          </w:p>
        </w:tc>
        <w:tc>
          <w:tcPr>
            <w:tcW w:w="301" w:type="dxa"/>
            <w:tcBorders/>
            <w:vAlign w:val="center"/>
          </w:tcPr>
          <w:p>
            <w:pPr>
              <w:pStyle w:val="TableContents"/>
              <w:bidi w:val="0"/>
              <w:spacing w:lineRule="auto" w:line="321" w:before="0" w:after="1"/>
              <w:ind w:left="0" w:right="0" w:hanging="0"/>
              <w:jc w:val="left"/>
              <w:rPr/>
            </w:pPr>
            <w:r>
              <w:rPr/>
              <w:t>​</w:t>
            </w:r>
          </w:p>
        </w:tc>
        <w:tc>
          <w:tcPr>
            <w:tcW w:w="90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(231)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4"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(346)</w:t>
            </w:r>
          </w:p>
        </w:tc>
      </w:tr>
      <w:tr>
        <w:trPr/>
        <w:tc>
          <w:tcPr>
            <w:tcW w:w="4447"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Deferred income taxes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(1,106)</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(2,101)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1" w:type="dxa"/>
            <w:tcBorders/>
            <w:shd w:fill="CCEEFF" w:val="clear"/>
            <w:vAlign w:val="center"/>
          </w:tcPr>
          <w:p>
            <w:pPr>
              <w:pStyle w:val="TableContents"/>
              <w:bidi w:val="0"/>
              <w:spacing w:lineRule="auto" w:line="321" w:before="0" w:after="1"/>
              <w:ind w:left="0" w:right="0" w:hanging="0"/>
              <w:jc w:val="left"/>
              <w:rPr/>
            </w:pPr>
            <w:r>
              <w:rPr/>
              <w:t>​</w:t>
            </w:r>
          </w:p>
        </w:tc>
        <w:tc>
          <w:tcPr>
            <w:tcW w:w="905"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(913)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(2,405)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4"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(2,130)</w:t>
            </w:r>
          </w:p>
        </w:tc>
      </w:tr>
      <w:tr>
        <w:trPr/>
        <w:tc>
          <w:tcPr>
            <w:tcW w:w="4447"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Unrealized (gain) loss on derivative contracts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7,621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3,926</w:t>
            </w:r>
          </w:p>
        </w:tc>
        <w:tc>
          <w:tcPr>
            <w:tcW w:w="346" w:type="dxa"/>
            <w:tcBorders/>
            <w:vAlign w:val="center"/>
          </w:tcPr>
          <w:p>
            <w:pPr>
              <w:pStyle w:val="TableContents"/>
              <w:bidi w:val="0"/>
              <w:spacing w:lineRule="auto" w:line="321" w:before="0" w:after="1"/>
              <w:ind w:left="0" w:right="0" w:hanging="0"/>
              <w:jc w:val="left"/>
              <w:rPr/>
            </w:pPr>
            <w:r>
              <w:rPr/>
              <w:t>​</w:t>
            </w:r>
          </w:p>
        </w:tc>
        <w:tc>
          <w:tcPr>
            <w:tcW w:w="301" w:type="dxa"/>
            <w:tcBorders/>
            <w:vAlign w:val="center"/>
          </w:tcPr>
          <w:p>
            <w:pPr>
              <w:pStyle w:val="TableContents"/>
              <w:bidi w:val="0"/>
              <w:spacing w:lineRule="auto" w:line="321" w:before="0" w:after="1"/>
              <w:ind w:left="0" w:right="0" w:hanging="0"/>
              <w:jc w:val="left"/>
              <w:rPr/>
            </w:pPr>
            <w:r>
              <w:rPr/>
              <w:t>​</w:t>
            </w:r>
          </w:p>
        </w:tc>
        <w:tc>
          <w:tcPr>
            <w:tcW w:w="90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(1,443)</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4,875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4"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3,426</w:t>
            </w:r>
          </w:p>
        </w:tc>
      </w:tr>
      <w:tr>
        <w:trPr/>
        <w:tc>
          <w:tcPr>
            <w:tcW w:w="4447"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Accrued settlements on derivative contracts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688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1" w:type="dxa"/>
            <w:tcBorders/>
            <w:shd w:fill="CCEEFF" w:val="clear"/>
            <w:vAlign w:val="center"/>
          </w:tcPr>
          <w:p>
            <w:pPr>
              <w:pStyle w:val="TableContents"/>
              <w:bidi w:val="0"/>
              <w:spacing w:lineRule="auto" w:line="321" w:before="0" w:after="1"/>
              <w:ind w:left="0" w:right="0" w:hanging="0"/>
              <w:jc w:val="left"/>
              <w:rPr/>
            </w:pPr>
            <w:r>
              <w:rPr/>
              <w:t>​</w:t>
            </w:r>
          </w:p>
        </w:tc>
        <w:tc>
          <w:tcPr>
            <w:tcW w:w="905"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375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678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4"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(114)</w:t>
            </w:r>
          </w:p>
        </w:tc>
      </w:tr>
      <w:tr>
        <w:trPr/>
        <w:tc>
          <w:tcPr>
            <w:tcW w:w="4447"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Amortization of debt issuance costs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3"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01" w:type="dxa"/>
            <w:tcBorders/>
            <w:vAlign w:val="center"/>
          </w:tcPr>
          <w:p>
            <w:pPr>
              <w:pStyle w:val="TableContents"/>
              <w:bidi w:val="0"/>
              <w:spacing w:lineRule="auto" w:line="321" w:before="0" w:after="1"/>
              <w:ind w:left="0" w:right="0" w:hanging="0"/>
              <w:jc w:val="left"/>
              <w:rPr/>
            </w:pPr>
            <w:r>
              <w:rPr/>
              <w:t>​</w:t>
            </w:r>
          </w:p>
        </w:tc>
        <w:tc>
          <w:tcPr>
            <w:tcW w:w="90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4" w:type="dxa"/>
            <w:tcBorders/>
            <w:vAlign w:val="center"/>
          </w:tcPr>
          <w:p>
            <w:pPr>
              <w:pStyle w:val="TableContents"/>
              <w:bidi w:val="0"/>
              <w:spacing w:lineRule="auto" w:line="321" w:before="0" w:after="1"/>
              <w:ind w:left="0" w:right="0" w:hanging="0"/>
              <w:jc w:val="right"/>
              <w:rPr/>
            </w:pPr>
            <w:r>
              <w:rPr/>
              <w:t>—</w:t>
            </w:r>
          </w:p>
        </w:tc>
      </w:tr>
      <w:tr>
        <w:trPr/>
        <w:tc>
          <w:tcPr>
            <w:tcW w:w="4447"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Other</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1" w:type="dxa"/>
            <w:tcBorders/>
            <w:shd w:fill="CCEEFF" w:val="clear"/>
            <w:vAlign w:val="center"/>
          </w:tcPr>
          <w:p>
            <w:pPr>
              <w:pStyle w:val="TableContents"/>
              <w:bidi w:val="0"/>
              <w:spacing w:lineRule="auto" w:line="321" w:before="0" w:after="1"/>
              <w:ind w:left="0" w:right="0" w:hanging="0"/>
              <w:jc w:val="left"/>
              <w:rPr/>
            </w:pPr>
            <w:r>
              <w:rPr/>
              <w:t>​</w:t>
            </w:r>
          </w:p>
        </w:tc>
        <w:tc>
          <w:tcPr>
            <w:tcW w:w="905"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4"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w:t>
            </w:r>
          </w:p>
        </w:tc>
      </w:tr>
      <w:tr>
        <w:trPr/>
        <w:tc>
          <w:tcPr>
            <w:tcW w:w="4447"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Changes in operating assets and liabilities: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3"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01" w:type="dxa"/>
            <w:tcBorders/>
            <w:vAlign w:val="center"/>
          </w:tcPr>
          <w:p>
            <w:pPr>
              <w:pStyle w:val="TableContents"/>
              <w:bidi w:val="0"/>
              <w:spacing w:lineRule="auto" w:line="321" w:before="0" w:after="1"/>
              <w:ind w:left="0" w:right="0" w:hanging="0"/>
              <w:jc w:val="left"/>
              <w:rPr/>
            </w:pPr>
            <w:r>
              <w:rPr/>
              <w:t>​</w:t>
            </w:r>
          </w:p>
        </w:tc>
        <w:tc>
          <w:tcPr>
            <w:tcW w:w="905"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4" w:type="dxa"/>
            <w:tcBorders/>
            <w:vAlign w:val="center"/>
          </w:tcPr>
          <w:p>
            <w:pPr>
              <w:pStyle w:val="TableContents"/>
              <w:bidi w:val="0"/>
              <w:spacing w:lineRule="auto" w:line="321" w:before="0" w:after="1"/>
              <w:ind w:left="0" w:right="0" w:hanging="0"/>
              <w:jc w:val="left"/>
              <w:rPr/>
            </w:pPr>
            <w:r>
              <w:rPr/>
              <w:t>​</w:t>
            </w:r>
          </w:p>
        </w:tc>
      </w:tr>
      <w:tr>
        <w:trPr/>
        <w:tc>
          <w:tcPr>
            <w:tcW w:w="4447"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Receivables from crude oil, natural gas, and natural gas liquids revenues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1" w:type="dxa"/>
            <w:tcBorders/>
            <w:shd w:fill="CCEEFF" w:val="clear"/>
            <w:vAlign w:val="center"/>
          </w:tcPr>
          <w:p>
            <w:pPr>
              <w:pStyle w:val="TableContents"/>
              <w:bidi w:val="0"/>
              <w:spacing w:lineRule="auto" w:line="321" w:before="0" w:after="1"/>
              <w:ind w:left="0" w:right="0" w:hanging="0"/>
              <w:jc w:val="left"/>
              <w:rPr/>
            </w:pPr>
            <w:r>
              <w:rPr/>
              <w:t>​</w:t>
            </w:r>
          </w:p>
        </w:tc>
        <w:tc>
          <w:tcPr>
            <w:tcW w:w="905"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(1,046)</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1,583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4"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w:t>
            </w:r>
          </w:p>
        </w:tc>
      </w:tr>
      <w:tr>
        <w:trPr/>
        <w:tc>
          <w:tcPr>
            <w:tcW w:w="4447"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Prepaid expenses and other current assets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(1,120)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965</w:t>
            </w:r>
          </w:p>
        </w:tc>
        <w:tc>
          <w:tcPr>
            <w:tcW w:w="346" w:type="dxa"/>
            <w:tcBorders/>
            <w:vAlign w:val="center"/>
          </w:tcPr>
          <w:p>
            <w:pPr>
              <w:pStyle w:val="TableContents"/>
              <w:bidi w:val="0"/>
              <w:spacing w:lineRule="auto" w:line="321" w:before="0" w:after="1"/>
              <w:ind w:left="0" w:right="0" w:hanging="0"/>
              <w:jc w:val="left"/>
              <w:rPr/>
            </w:pPr>
            <w:r>
              <w:rPr/>
              <w:t>​</w:t>
            </w:r>
          </w:p>
        </w:tc>
        <w:tc>
          <w:tcPr>
            <w:tcW w:w="301" w:type="dxa"/>
            <w:tcBorders/>
            <w:vAlign w:val="center"/>
          </w:tcPr>
          <w:p>
            <w:pPr>
              <w:pStyle w:val="TableContents"/>
              <w:bidi w:val="0"/>
              <w:spacing w:lineRule="auto" w:line="321" w:before="0" w:after="1"/>
              <w:ind w:left="0" w:right="0" w:hanging="0"/>
              <w:jc w:val="left"/>
              <w:rPr/>
            </w:pPr>
            <w:r>
              <w:rPr/>
              <w:t>​</w:t>
            </w:r>
          </w:p>
        </w:tc>
        <w:tc>
          <w:tcPr>
            <w:tcW w:w="90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157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239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4"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1,400</w:t>
            </w:r>
          </w:p>
        </w:tc>
      </w:tr>
      <w:tr>
        <w:trPr/>
        <w:tc>
          <w:tcPr>
            <w:tcW w:w="4447"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Accounts payable, accrued liabilities and other</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1,227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1,149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1" w:type="dxa"/>
            <w:tcBorders/>
            <w:shd w:fill="CCEEFF" w:val="clear"/>
            <w:vAlign w:val="center"/>
          </w:tcPr>
          <w:p>
            <w:pPr>
              <w:pStyle w:val="TableContents"/>
              <w:bidi w:val="0"/>
              <w:spacing w:lineRule="auto" w:line="321" w:before="0" w:after="1"/>
              <w:ind w:left="0" w:right="0" w:hanging="0"/>
              <w:jc w:val="left"/>
              <w:rPr/>
            </w:pPr>
            <w:r>
              <w:rPr/>
              <w:t>​</w:t>
            </w:r>
          </w:p>
        </w:tc>
        <w:tc>
          <w:tcPr>
            <w:tcW w:w="905"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(392)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(437)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4"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4,382</w:t>
            </w:r>
          </w:p>
        </w:tc>
      </w:tr>
      <w:tr>
        <w:trPr/>
        <w:tc>
          <w:tcPr>
            <w:tcW w:w="4447"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State and federal taxes payable</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62"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(847)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83"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01" w:type="dxa"/>
            <w:tcBorders/>
            <w:vAlign w:val="center"/>
          </w:tcPr>
          <w:p>
            <w:pPr>
              <w:pStyle w:val="TableContents"/>
              <w:bidi w:val="0"/>
              <w:spacing w:lineRule="auto" w:line="321" w:before="0" w:after="1"/>
              <w:ind w:left="0" w:right="0" w:hanging="0"/>
              <w:jc w:val="left"/>
              <w:rPr/>
            </w:pPr>
            <w:r>
              <w:rPr/>
              <w:t>​</w:t>
            </w:r>
          </w:p>
        </w:tc>
        <w:tc>
          <w:tcPr>
            <w:tcW w:w="905"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1,217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425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(74)</w:t>
            </w:r>
          </w:p>
        </w:tc>
      </w:tr>
      <w:tr>
        <w:trPr/>
        <w:tc>
          <w:tcPr>
            <w:tcW w:w="4447"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Net cash provided by operating activities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62"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3,489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8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7,263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1" w:type="dxa"/>
            <w:tcBorders/>
            <w:shd w:fill="CCEEFF" w:val="clear"/>
            <w:vAlign w:val="center"/>
          </w:tcPr>
          <w:p>
            <w:pPr>
              <w:pStyle w:val="TableContents"/>
              <w:bidi w:val="0"/>
              <w:spacing w:lineRule="auto" w:line="321" w:before="0" w:after="1"/>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5,425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16,719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22,596</w:t>
            </w:r>
          </w:p>
        </w:tc>
      </w:tr>
      <w:tr>
        <w:trPr/>
        <w:tc>
          <w:tcPr>
            <w:tcW w:w="4447"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Cash flows from investing activities: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3"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01" w:type="dxa"/>
            <w:tcBorders/>
            <w:vAlign w:val="center"/>
          </w:tcPr>
          <w:p>
            <w:pPr>
              <w:pStyle w:val="TableContents"/>
              <w:bidi w:val="0"/>
              <w:spacing w:lineRule="auto" w:line="321" w:before="0" w:after="1"/>
              <w:ind w:left="0" w:right="0" w:hanging="0"/>
              <w:jc w:val="left"/>
              <w:rPr/>
            </w:pPr>
            <w:r>
              <w:rPr/>
              <w:t>​</w:t>
            </w:r>
          </w:p>
        </w:tc>
        <w:tc>
          <w:tcPr>
            <w:tcW w:w="905"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4" w:type="dxa"/>
            <w:tcBorders/>
            <w:vAlign w:val="center"/>
          </w:tcPr>
          <w:p>
            <w:pPr>
              <w:pStyle w:val="TableContents"/>
              <w:bidi w:val="0"/>
              <w:spacing w:lineRule="auto" w:line="321" w:before="0" w:after="1"/>
              <w:ind w:left="0" w:right="0" w:hanging="0"/>
              <w:jc w:val="left"/>
              <w:rPr/>
            </w:pPr>
            <w:r>
              <w:rPr/>
              <w:t>​</w:t>
            </w:r>
          </w:p>
        </w:tc>
      </w:tr>
      <w:tr>
        <w:trPr/>
        <w:tc>
          <w:tcPr>
            <w:tcW w:w="4447"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Acquisition deposits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righ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(1,800)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1" w:type="dxa"/>
            <w:tcBorders/>
            <w:shd w:fill="CCEEFF" w:val="clear"/>
            <w:vAlign w:val="center"/>
          </w:tcPr>
          <w:p>
            <w:pPr>
              <w:pStyle w:val="TableContents"/>
              <w:bidi w:val="0"/>
              <w:spacing w:lineRule="auto" w:line="321" w:before="0" w:after="1"/>
              <w:ind w:left="0" w:right="0" w:hanging="0"/>
              <w:jc w:val="left"/>
              <w:rPr/>
            </w:pPr>
            <w:r>
              <w:rPr/>
              <w:t>​</w:t>
            </w:r>
          </w:p>
        </w:tc>
        <w:tc>
          <w:tcPr>
            <w:tcW w:w="905" w:type="dxa"/>
            <w:tcBorders/>
            <w:shd w:fill="CCEEFF" w:val="clear"/>
            <w:vAlign w:val="center"/>
          </w:tcPr>
          <w:p>
            <w:pPr>
              <w:pStyle w:val="TableContents"/>
              <w:bidi w:val="0"/>
              <w:spacing w:lineRule="auto" w:line="321" w:before="0" w:after="1"/>
              <w:ind w:left="0" w:right="0" w:hanging="0"/>
              <w:jc w:val="righ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4"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(1,800)</w:t>
            </w:r>
          </w:p>
        </w:tc>
      </w:tr>
      <w:tr>
        <w:trPr/>
        <w:tc>
          <w:tcPr>
            <w:tcW w:w="4447"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Acquisition of oil and natural gas properties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(4,662)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w:t>
            </w:r>
          </w:p>
        </w:tc>
        <w:tc>
          <w:tcPr>
            <w:tcW w:w="346" w:type="dxa"/>
            <w:tcBorders/>
            <w:vAlign w:val="center"/>
          </w:tcPr>
          <w:p>
            <w:pPr>
              <w:pStyle w:val="TableContents"/>
              <w:bidi w:val="0"/>
              <w:spacing w:lineRule="auto" w:line="321" w:before="0" w:after="1"/>
              <w:ind w:left="0" w:right="0" w:hanging="0"/>
              <w:jc w:val="left"/>
              <w:rPr/>
            </w:pPr>
            <w:r>
              <w:rPr/>
              <w:t>​</w:t>
            </w:r>
          </w:p>
        </w:tc>
        <w:tc>
          <w:tcPr>
            <w:tcW w:w="301" w:type="dxa"/>
            <w:tcBorders/>
            <w:vAlign w:val="center"/>
          </w:tcPr>
          <w:p>
            <w:pPr>
              <w:pStyle w:val="TableContents"/>
              <w:bidi w:val="0"/>
              <w:spacing w:lineRule="auto" w:line="321" w:before="0" w:after="1"/>
              <w:ind w:left="0" w:right="0" w:hanging="0"/>
              <w:jc w:val="left"/>
              <w:rPr/>
            </w:pPr>
            <w:r>
              <w:rPr/>
              <w:t>​</w:t>
            </w:r>
          </w:p>
        </w:tc>
        <w:tc>
          <w:tcPr>
            <w:tcW w:w="90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(21,308)</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4"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(351)</w:t>
            </w:r>
          </w:p>
        </w:tc>
      </w:tr>
      <w:tr>
        <w:trPr/>
        <w:tc>
          <w:tcPr>
            <w:tcW w:w="4447"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Capital expenditures for oil and natural gas properties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62"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(1,263)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8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(4,404)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(839)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(5,920)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(7,902)</w:t>
            </w:r>
          </w:p>
        </w:tc>
      </w:tr>
      <w:tr>
        <w:trPr/>
        <w:tc>
          <w:tcPr>
            <w:tcW w:w="4447"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Net cash used in investing activities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62"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(5,925)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83"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(6,224)</w:t>
            </w:r>
          </w:p>
        </w:tc>
        <w:tc>
          <w:tcPr>
            <w:tcW w:w="346" w:type="dxa"/>
            <w:tcBorders/>
            <w:vAlign w:val="center"/>
          </w:tcPr>
          <w:p>
            <w:pPr>
              <w:pStyle w:val="TableContents"/>
              <w:bidi w:val="0"/>
              <w:spacing w:lineRule="auto" w:line="321"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905"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(617)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(27,228)</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(10,053)</w:t>
            </w:r>
          </w:p>
        </w:tc>
      </w:tr>
      <w:tr>
        <w:trPr/>
        <w:tc>
          <w:tcPr>
            <w:tcW w:w="4447"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Cash flows from financing activities: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left"/>
              <w:rPr/>
            </w:pPr>
            <w:r>
              <w:rPr/>
              <w:t> </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3" w:type="dxa"/>
            <w:tcBorders/>
            <w:shd w:fill="CCEEFF" w:val="clear"/>
            <w:vAlign w:val="center"/>
          </w:tcPr>
          <w:p>
            <w:pPr>
              <w:pStyle w:val="TableContents"/>
              <w:bidi w:val="0"/>
              <w:spacing w:lineRule="auto" w:line="321" w:before="0" w:after="1"/>
              <w:ind w:left="0" w:right="0" w:hanging="0"/>
              <w:jc w:val="left"/>
              <w:rPr/>
            </w:pPr>
            <w:r>
              <w:rPr/>
              <w:t> </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1" w:type="dxa"/>
            <w:tcBorders/>
            <w:shd w:fill="CCEEFF" w:val="clear"/>
            <w:vAlign w:val="center"/>
          </w:tcPr>
          <w:p>
            <w:pPr>
              <w:pStyle w:val="TableContents"/>
              <w:bidi w:val="0"/>
              <w:spacing w:lineRule="auto" w:line="321" w:before="0" w:after="1"/>
              <w:ind w:left="0" w:right="0" w:hanging="0"/>
              <w:jc w:val="left"/>
              <w:rPr/>
            </w:pPr>
            <w:r>
              <w:rPr/>
              <w:t>​</w:t>
            </w:r>
          </w:p>
        </w:tc>
        <w:tc>
          <w:tcPr>
            <w:tcW w:w="905"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4" w:type="dxa"/>
            <w:tcBorders/>
            <w:shd w:fill="CCEEFF" w:val="clear"/>
            <w:vAlign w:val="center"/>
          </w:tcPr>
          <w:p>
            <w:pPr>
              <w:pStyle w:val="TableContents"/>
              <w:bidi w:val="0"/>
              <w:spacing w:lineRule="auto" w:line="321" w:before="0" w:after="1"/>
              <w:ind w:left="0" w:right="0" w:hanging="0"/>
              <w:jc w:val="left"/>
              <w:rPr/>
            </w:pPr>
            <w:r>
              <w:rPr/>
              <w:t>​</w:t>
            </w:r>
          </w:p>
        </w:tc>
      </w:tr>
      <w:tr>
        <w:trPr/>
        <w:tc>
          <w:tcPr>
            <w:tcW w:w="4447"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Common stock dividends paid</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(4,261)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(4,109)</w:t>
            </w:r>
          </w:p>
        </w:tc>
        <w:tc>
          <w:tcPr>
            <w:tcW w:w="346" w:type="dxa"/>
            <w:tcBorders/>
            <w:vAlign w:val="center"/>
          </w:tcPr>
          <w:p>
            <w:pPr>
              <w:pStyle w:val="TableContents"/>
              <w:bidi w:val="0"/>
              <w:spacing w:lineRule="auto" w:line="321" w:before="0" w:after="1"/>
              <w:ind w:left="0" w:right="0" w:hanging="0"/>
              <w:jc w:val="left"/>
              <w:rPr/>
            </w:pPr>
            <w:r>
              <w:rPr/>
              <w:t>​</w:t>
            </w:r>
          </w:p>
        </w:tc>
        <w:tc>
          <w:tcPr>
            <w:tcW w:w="301" w:type="dxa"/>
            <w:tcBorders/>
            <w:vAlign w:val="center"/>
          </w:tcPr>
          <w:p>
            <w:pPr>
              <w:pStyle w:val="TableContents"/>
              <w:bidi w:val="0"/>
              <w:spacing w:lineRule="auto" w:line="321" w:before="0" w:after="1"/>
              <w:ind w:left="0" w:right="0" w:hanging="0"/>
              <w:jc w:val="left"/>
              <w:rPr/>
            </w:pPr>
            <w:r>
              <w:rPr/>
              <w:t>​</w:t>
            </w:r>
          </w:p>
        </w:tc>
        <w:tc>
          <w:tcPr>
            <w:tcW w:w="90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(4,195)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(12,613)</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4"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(12,224)</w:t>
            </w:r>
          </w:p>
        </w:tc>
      </w:tr>
      <w:tr>
        <w:trPr/>
        <w:tc>
          <w:tcPr>
            <w:tcW w:w="4447"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Common stock repurchases, including stock surrendered for tax withholding</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1" w:type="dxa"/>
            <w:tcBorders/>
            <w:shd w:fill="CCEEFF" w:val="clear"/>
            <w:vAlign w:val="center"/>
          </w:tcPr>
          <w:p>
            <w:pPr>
              <w:pStyle w:val="TableContents"/>
              <w:bidi w:val="0"/>
              <w:spacing w:lineRule="auto" w:line="321" w:before="0" w:after="1"/>
              <w:ind w:left="0" w:right="0" w:hanging="0"/>
              <w:jc w:val="left"/>
              <w:rPr/>
            </w:pPr>
            <w:r>
              <w:rPr/>
              <w:t>​</w:t>
            </w:r>
          </w:p>
        </w:tc>
        <w:tc>
          <w:tcPr>
            <w:tcW w:w="905"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4"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(262)</w:t>
            </w:r>
          </w:p>
        </w:tc>
      </w:tr>
      <w:tr>
        <w:trPr/>
        <w:tc>
          <w:tcPr>
            <w:tcW w:w="4447"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Borrowings under senior secured credit facility</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2,000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3"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01" w:type="dxa"/>
            <w:tcBorders/>
            <w:vAlign w:val="center"/>
          </w:tcPr>
          <w:p>
            <w:pPr>
              <w:pStyle w:val="TableContents"/>
              <w:bidi w:val="0"/>
              <w:spacing w:lineRule="auto" w:line="321" w:before="0" w:after="1"/>
              <w:ind w:left="0" w:right="0" w:hanging="0"/>
              <w:jc w:val="left"/>
              <w:rPr/>
            </w:pPr>
            <w:r>
              <w:rPr/>
              <w:t>​</w:t>
            </w:r>
          </w:p>
        </w:tc>
        <w:tc>
          <w:tcPr>
            <w:tcW w:w="90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2,500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22,000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4" w:type="dxa"/>
            <w:tcBorders/>
            <w:vAlign w:val="center"/>
          </w:tcPr>
          <w:p>
            <w:pPr>
              <w:pStyle w:val="TableContents"/>
              <w:bidi w:val="0"/>
              <w:spacing w:lineRule="auto" w:line="321" w:before="0" w:after="1"/>
              <w:ind w:left="0" w:right="0" w:hanging="0"/>
              <w:jc w:val="right"/>
              <w:rPr/>
            </w:pPr>
            <w:r>
              <w:rPr/>
              <w:t>—</w:t>
            </w:r>
          </w:p>
        </w:tc>
      </w:tr>
      <w:tr>
        <w:trPr/>
        <w:tc>
          <w:tcPr>
            <w:tcW w:w="4447"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Repayments of senior secured credit facility</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righ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(4,000)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1" w:type="dxa"/>
            <w:tcBorders/>
            <w:shd w:fill="CCEEFF" w:val="clear"/>
            <w:vAlign w:val="center"/>
          </w:tcPr>
          <w:p>
            <w:pPr>
              <w:pStyle w:val="TableContents"/>
              <w:bidi w:val="0"/>
              <w:spacing w:lineRule="auto" w:line="321" w:before="0" w:after="1"/>
              <w:ind w:left="0" w:right="0" w:hanging="0"/>
              <w:jc w:val="left"/>
              <w:rPr/>
            </w:pPr>
            <w:r>
              <w:rPr/>
              <w:t>​</w:t>
            </w:r>
          </w:p>
        </w:tc>
        <w:tc>
          <w:tcPr>
            <w:tcW w:w="905"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(1,000)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(3,000)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4"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(4,000)</w:t>
            </w:r>
          </w:p>
        </w:tc>
      </w:tr>
      <w:tr>
        <w:trPr/>
        <w:tc>
          <w:tcPr>
            <w:tcW w:w="4447"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Debt issuance costs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righ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3"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01" w:type="dxa"/>
            <w:tcBorders/>
            <w:vAlign w:val="center"/>
          </w:tcPr>
          <w:p>
            <w:pPr>
              <w:pStyle w:val="TableContents"/>
              <w:bidi w:val="0"/>
              <w:spacing w:lineRule="auto" w:line="321" w:before="0" w:after="1"/>
              <w:ind w:left="0" w:right="0" w:hanging="0"/>
              <w:jc w:val="left"/>
              <w:rPr/>
            </w:pPr>
            <w:r>
              <w:rPr/>
              <w:t>​</w:t>
            </w:r>
          </w:p>
        </w:tc>
        <w:tc>
          <w:tcPr>
            <w:tcW w:w="905" w:type="dxa"/>
            <w:tcBorders/>
            <w:vAlign w:val="center"/>
          </w:tcPr>
          <w:p>
            <w:pPr>
              <w:pStyle w:val="TableContents"/>
              <w:bidi w:val="0"/>
              <w:spacing w:lineRule="auto" w:line="321" w:before="0" w:after="1"/>
              <w:ind w:left="0" w:right="0" w:hanging="0"/>
              <w:jc w:val="righ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(379)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4" w:type="dxa"/>
            <w:tcBorders/>
            <w:vAlign w:val="center"/>
          </w:tcPr>
          <w:p>
            <w:pPr>
              <w:pStyle w:val="TableContents"/>
              <w:bidi w:val="0"/>
              <w:spacing w:lineRule="auto" w:line="321" w:before="0" w:after="1"/>
              <w:ind w:left="0" w:right="0" w:hanging="0"/>
              <w:jc w:val="right"/>
              <w:rPr/>
            </w:pPr>
            <w:r>
              <w:rPr/>
              <w:t>—</w:t>
            </w:r>
          </w:p>
        </w:tc>
      </w:tr>
      <w:tr>
        <w:trPr/>
        <w:tc>
          <w:tcPr>
            <w:tcW w:w="4447"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Issuance of common stock</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2"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3,672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8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1,145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1" w:type="dxa"/>
            <w:tcBorders/>
            <w:shd w:fill="CCEEFF" w:val="clear"/>
            <w:vAlign w:val="center"/>
          </w:tcPr>
          <w:p>
            <w:pPr>
              <w:pStyle w:val="TableContents"/>
              <w:bidi w:val="0"/>
              <w:spacing w:lineRule="auto" w:line="321" w:before="0" w:after="1"/>
              <w:ind w:left="0" w:right="0" w:hanging="0"/>
              <w:jc w:val="left"/>
              <w:rPr/>
            </w:pPr>
            <w:r>
              <w:rPr/>
              <w:t>​</w:t>
            </w:r>
          </w:p>
        </w:tc>
        <w:tc>
          <w:tcPr>
            <w:tcW w:w="905"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1,006</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7"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4,944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814"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3,404</w:t>
            </w:r>
          </w:p>
        </w:tc>
      </w:tr>
      <w:tr>
        <w:trPr/>
        <w:tc>
          <w:tcPr>
            <w:tcW w:w="4447"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Offering costs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62"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(78)</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83"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(70)</w:t>
            </w:r>
          </w:p>
        </w:tc>
        <w:tc>
          <w:tcPr>
            <w:tcW w:w="346" w:type="dxa"/>
            <w:tcBorders/>
            <w:vAlign w:val="center"/>
          </w:tcPr>
          <w:p>
            <w:pPr>
              <w:pStyle w:val="TableContents"/>
              <w:bidi w:val="0"/>
              <w:spacing w:lineRule="auto" w:line="321"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905"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(306)</w:t>
            </w:r>
          </w:p>
        </w:tc>
      </w:tr>
      <w:tr>
        <w:trPr/>
        <w:tc>
          <w:tcPr>
            <w:tcW w:w="4447"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Net cash provided by (used in) financing activities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62"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1,290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8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(7,105)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(1,760)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10,618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(13,388)</w:t>
            </w:r>
          </w:p>
        </w:tc>
      </w:tr>
      <w:tr>
        <w:trPr/>
        <w:tc>
          <w:tcPr>
            <w:tcW w:w="4447"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Net increase (decrease) in cash and cash equivalents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2"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(1,146)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8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(6,066)</w:t>
            </w:r>
          </w:p>
        </w:tc>
        <w:tc>
          <w:tcPr>
            <w:tcW w:w="346" w:type="dxa"/>
            <w:tcBorders/>
            <w:vAlign w:val="center"/>
          </w:tcPr>
          <w:p>
            <w:pPr>
              <w:pStyle w:val="TableContents"/>
              <w:bidi w:val="0"/>
              <w:spacing w:lineRule="auto" w:line="321" w:before="0" w:after="1"/>
              <w:ind w:left="0" w:right="0" w:hanging="0"/>
              <w:jc w:val="left"/>
              <w:rPr/>
            </w:pPr>
            <w:r>
              <w:rPr/>
              <w:t>​</w:t>
            </w:r>
          </w:p>
        </w:tc>
        <w:tc>
          <w:tcPr>
            <w:tcW w:w="301" w:type="dxa"/>
            <w:tcBorders/>
            <w:vAlign w:val="center"/>
          </w:tcPr>
          <w:p>
            <w:pPr>
              <w:pStyle w:val="TableContents"/>
              <w:bidi w:val="0"/>
              <w:spacing w:lineRule="auto" w:line="321" w:before="0" w:after="1"/>
              <w:ind w:left="0" w:right="0" w:hanging="0"/>
              <w:jc w:val="left"/>
              <w:rPr/>
            </w:pPr>
            <w:r>
              <w:rPr/>
              <w:t>​</w:t>
            </w:r>
          </w:p>
        </w:tc>
        <w:tc>
          <w:tcPr>
            <w:tcW w:w="90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3,048</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7"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814"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(845)</w:t>
            </w:r>
          </w:p>
        </w:tc>
      </w:tr>
      <w:tr>
        <w:trPr/>
        <w:tc>
          <w:tcPr>
            <w:tcW w:w="4447"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Cash and cash equivalents, beginning of period</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62"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3,762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8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11,667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714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2,507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6,446</w:t>
            </w:r>
          </w:p>
        </w:tc>
      </w:tr>
      <w:tr>
        <w:trPr/>
        <w:tc>
          <w:tcPr>
            <w:tcW w:w="4447"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Cash and cash equivalents, end of period</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2"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2,616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83"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5,601</w:t>
            </w:r>
          </w:p>
        </w:tc>
        <w:tc>
          <w:tcPr>
            <w:tcW w:w="346" w:type="dxa"/>
            <w:tcBorders/>
            <w:vAlign w:val="center"/>
          </w:tcPr>
          <w:p>
            <w:pPr>
              <w:pStyle w:val="TableContents"/>
              <w:bidi w:val="0"/>
              <w:spacing w:lineRule="auto" w:line="321" w:before="0" w:after="1"/>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905"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3,762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67"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2,616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814" w:type="dxa"/>
            <w:tcBorders>
              <w:bottom w:val="double" w:sz="6" w:space="0" w:color="000000"/>
            </w:tcBorders>
            <w:tcMar>
              <w:bottom w:w="28" w:type="dxa"/>
            </w:tcMar>
            <w:vAlign w:val="center"/>
          </w:tcPr>
          <w:p>
            <w:pPr>
              <w:pStyle w:val="TableContents"/>
              <w:bidi w:val="0"/>
              <w:spacing w:lineRule="auto" w:line="321" w:before="0" w:after="1"/>
              <w:ind w:left="0" w:right="45" w:hanging="0"/>
              <w:jc w:val="right"/>
              <w:rPr>
                <w:rFonts w:ascii="Segoe UI" w:hAnsi="Segoe UI"/>
                <w:sz w:val="16"/>
              </w:rPr>
            </w:pPr>
            <w:r>
              <w:rPr>
                <w:rFonts w:ascii="Segoe UI" w:hAnsi="Segoe UI"/>
                <w:sz w:val="16"/>
              </w:rPr>
              <w:t>5,601</w:t>
            </w:r>
          </w:p>
        </w:tc>
      </w:tr>
    </w:tbl>
    <w:p>
      <w:pPr>
        <w:pStyle w:val="TextBody"/>
        <w:bidi w:val="0"/>
        <w:spacing w:lineRule="auto" w:line="321"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321" w:before="0" w:after="0"/>
        <w:ind w:left="0" w:right="0" w:hanging="0"/>
        <w:jc w:val="left"/>
        <w:rPr/>
      </w:pPr>
      <w:r>
        <w:rPr/>
        <w:t>​</w:t>
      </w:r>
    </w:p>
    <w:p>
      <w:pPr>
        <w:pStyle w:val="TextBody"/>
        <w:bidi w:val="0"/>
        <w:spacing w:lineRule="auto" w:line="285" w:before="0" w:after="0"/>
        <w:ind w:left="0" w:right="0" w:hanging="0"/>
        <w:jc w:val="center"/>
        <w:rPr>
          <w:rFonts w:ascii="Segoe UI" w:hAnsi="Segoe UI"/>
          <w:sz w:val="22"/>
        </w:rPr>
      </w:pPr>
      <w:r>
        <w:rPr>
          <w:rFonts w:ascii="Segoe UI" w:hAnsi="Segoe UI"/>
          <w:sz w:val="22"/>
        </w:rPr>
        <w:t>9</w:t>
      </w:r>
    </w:p>
    <w:p>
      <w:pPr>
        <w:pStyle w:val="HorizontalLine"/>
        <w:pBdr>
          <w:bottom w:val="double" w:sz="2" w:space="0" w:color="808080"/>
        </w:pBdr>
        <w:bidi w:val="0"/>
        <w:spacing w:before="0" w:after="283"/>
        <w:jc w:val="left"/>
        <w:rPr/>
      </w:pPr>
      <w:r>
        <w:rPr/>
      </w:r>
    </w:p>
    <w:p>
      <w:pPr>
        <w:pStyle w:val="TextBody"/>
        <w:bidi w:val="0"/>
        <w:spacing w:lineRule="auto" w:line="321" w:before="0" w:after="0"/>
        <w:ind w:left="0" w:right="0" w:hanging="0"/>
        <w:jc w:val="center"/>
        <w:rPr>
          <w:rFonts w:ascii="Segoe UI Semibold" w:hAnsi="Segoe UI Semibold"/>
          <w:sz w:val="22"/>
        </w:rPr>
      </w:pPr>
      <w:bookmarkStart w:id="43" w:name="_Hlk112420443"/>
      <w:bookmarkEnd w:id="43"/>
      <w:r>
        <w:rPr>
          <w:rFonts w:ascii="Segoe UI Semibold" w:hAnsi="Segoe UI Semibold"/>
          <w:sz w:val="22"/>
        </w:rPr>
        <w:t>Evolution Petroleum Corporation</w:t>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Non-GAAP Reconciliation – Adjusted EBITDA (Unaudited)</w:t>
      </w:r>
    </w:p>
    <w:p>
      <w:pPr>
        <w:pStyle w:val="TextBody"/>
        <w:bidi w:val="0"/>
        <w:spacing w:lineRule="auto" w:line="321" w:before="0" w:after="100"/>
        <w:ind w:left="0" w:right="0" w:hanging="0"/>
        <w:jc w:val="center"/>
        <w:rPr>
          <w:rFonts w:ascii="Segoe UI Semibold" w:hAnsi="Segoe UI Semibold"/>
          <w:sz w:val="22"/>
        </w:rPr>
      </w:pPr>
      <w:r>
        <w:rPr>
          <w:rFonts w:ascii="Segoe UI Semibold" w:hAnsi="Segoe UI Semibold"/>
          <w:sz w:val="22"/>
        </w:rPr>
        <w:t>(In thousands)</w:t>
      </w:r>
    </w:p>
    <w:p>
      <w:pPr>
        <w:pStyle w:val="TextBody"/>
        <w:bidi w:val="0"/>
        <w:spacing w:lineRule="auto" w:line="285" w:before="100" w:after="100"/>
        <w:ind w:left="0" w:right="0" w:hanging="0"/>
        <w:jc w:val="both"/>
        <w:rPr>
          <w:rFonts w:ascii="Segoe UI" w:hAnsi="Segoe UI"/>
          <w:sz w:val="22"/>
        </w:rPr>
      </w:pPr>
      <w:r>
        <w:rPr>
          <w:rFonts w:ascii="Segoe UI" w:hAnsi="Segoe UI"/>
          <w:sz w:val="22"/>
        </w:rPr>
        <w:t>Adjusted EBITDA and Net income (loss) and earnings per share excluding selected items are non-GAAP financial measures that are used as supplemental financial measures by our management and by external users of our financial statements, such as investors, commercial banks, and others, to assess our operating performance as compared to that of other companies in our industry, without regard to financing methods, capital structure, or historical costs basis. We use these measures to assess our ability to incur and service debt and fund capital expenditures. Our Adjusted EBITDA and Net income (loss) and earnings per share, excluding selected items, should not be considered alternatives to net income (loss), operating income (loss), cash flows provided by (used in) operating activities, or any other measure of financial performance or liquidity presented in accordance with U.S. GAAP. Our Adjusted EBITDA and Net income (loss) and earnings per share excluding selected items may not be comparable to similarly titled measures of another company because all companies may not calculate Adjusted EBITDA and Net income (loss) and earnings per share excluding selected items in the same manner.</w:t>
      </w:r>
    </w:p>
    <w:p>
      <w:pPr>
        <w:pStyle w:val="TextBody"/>
        <w:bidi w:val="0"/>
        <w:spacing w:lineRule="auto" w:line="321" w:before="0" w:after="0"/>
        <w:ind w:left="0" w:right="0" w:hanging="0"/>
        <w:jc w:val="both"/>
        <w:rPr/>
      </w:pPr>
      <w:r>
        <w:rPr/>
        <w:t>​</w:t>
      </w:r>
    </w:p>
    <w:p>
      <w:pPr>
        <w:pStyle w:val="TextBody"/>
        <w:bidi w:val="0"/>
        <w:spacing w:lineRule="auto" w:line="285" w:before="100" w:after="100"/>
        <w:ind w:left="0" w:right="0" w:hanging="0"/>
        <w:jc w:val="both"/>
        <w:rPr>
          <w:rFonts w:ascii="Segoe UI" w:hAnsi="Segoe UI"/>
          <w:sz w:val="22"/>
        </w:rPr>
      </w:pPr>
      <w:r>
        <w:rPr>
          <w:rFonts w:ascii="Segoe UI" w:hAnsi="Segoe UI"/>
          <w:sz w:val="22"/>
        </w:rPr>
        <w:t>We define Adjusted EBITDA as net income (loss) plus interest expense, income tax expense (benefit), depreciation, depletion, and accretion (DD&amp;A), stock-based compensation, ceiling test impairment, and other impairments, unrealized loss (gain) on change in fair value of derivatives, and other non-recurring or non-cash expense (income) items.</w:t>
      </w:r>
    </w:p>
    <w:tbl>
      <w:tblPr>
        <w:tblW w:w="9746" w:type="dxa"/>
        <w:jc w:val="left"/>
        <w:tblInd w:w="0" w:type="dxa"/>
        <w:tblLayout w:type="fixed"/>
        <w:tblCellMar>
          <w:top w:w="0" w:type="dxa"/>
          <w:left w:w="0" w:type="dxa"/>
          <w:bottom w:w="0" w:type="dxa"/>
          <w:right w:w="0" w:type="dxa"/>
        </w:tblCellMar>
      </w:tblPr>
      <w:tblGrid>
        <w:gridCol w:w="3901"/>
        <w:gridCol w:w="109"/>
        <w:gridCol w:w="211"/>
        <w:gridCol w:w="691"/>
        <w:gridCol w:w="109"/>
        <w:gridCol w:w="211"/>
        <w:gridCol w:w="691"/>
        <w:gridCol w:w="346"/>
        <w:gridCol w:w="344"/>
        <w:gridCol w:w="1036"/>
        <w:gridCol w:w="109"/>
        <w:gridCol w:w="211"/>
        <w:gridCol w:w="691"/>
        <w:gridCol w:w="109"/>
        <w:gridCol w:w="211"/>
        <w:gridCol w:w="76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477135" cy="175260"/>
                      <wp:effectExtent l="0" t="0" r="0" b="0"/>
                      <wp:wrapNone/>
                      <wp:docPr id="54" name="Frame53"/>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215" cy="175260"/>
                      <wp:effectExtent l="0" t="0" r="0" b="0"/>
                      <wp:wrapNone/>
                      <wp:docPr id="55"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38785" cy="175260"/>
                      <wp:effectExtent l="0" t="0" r="0" b="0"/>
                      <wp:wrapNone/>
                      <wp:docPr id="57" name="Frame5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58" name="Frame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38785" cy="175260"/>
                      <wp:effectExtent l="0" t="0" r="0" b="0"/>
                      <wp:wrapNone/>
                      <wp:docPr id="60" name="Frame5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8440" cy="175260"/>
                      <wp:effectExtent l="0" t="0" r="0" b="0"/>
                      <wp:wrapNone/>
                      <wp:docPr id="62" name="Frame61"/>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57860" cy="175260"/>
                      <wp:effectExtent l="0" t="0" r="0" b="0"/>
                      <wp:wrapNone/>
                      <wp:docPr id="63" name="Frame6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38785" cy="175260"/>
                      <wp:effectExtent l="0" t="0" r="0" b="0"/>
                      <wp:wrapNone/>
                      <wp:docPr id="66" name="Frame6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7"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86410" cy="175260"/>
                      <wp:effectExtent l="0" t="0" r="0" b="0"/>
                      <wp:wrapNone/>
                      <wp:docPr id="69" name="Frame6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lineRule="auto" w:line="321" w:before="0" w:after="1"/>
              <w:ind w:left="0" w:right="0" w:hanging="0"/>
              <w:jc w:val="left"/>
              <w:rPr/>
            </w:pPr>
            <w:r>
              <w:rPr/>
              <w:t> </w:t>
            </w:r>
          </w:p>
        </w:tc>
        <w:tc>
          <w:tcPr>
            <w:tcW w:w="109" w:type="dxa"/>
            <w:tcBorders/>
            <w:vAlign w:val="center"/>
          </w:tcPr>
          <w:p>
            <w:pPr>
              <w:pStyle w:val="TableContents"/>
              <w:bidi w:val="0"/>
              <w:spacing w:lineRule="auto" w:line="321" w:before="0" w:after="1"/>
              <w:ind w:left="0" w:right="0" w:hanging="0"/>
              <w:jc w:val="left"/>
              <w:rPr/>
            </w:pPr>
            <w:r>
              <w:rPr/>
              <w:t>​</w:t>
            </w:r>
          </w:p>
        </w:tc>
        <w:tc>
          <w:tcPr>
            <w:tcW w:w="3639" w:type="dxa"/>
            <w:gridSpan w:val="8"/>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 xml:space="preserve">Three Months Ended </w:t>
            </w:r>
          </w:p>
        </w:tc>
        <w:tc>
          <w:tcPr>
            <w:tcW w:w="109" w:type="dxa"/>
            <w:tcBorders/>
            <w:vAlign w:val="center"/>
          </w:tcPr>
          <w:p>
            <w:pPr>
              <w:pStyle w:val="TableContents"/>
              <w:bidi w:val="0"/>
              <w:spacing w:lineRule="auto" w:line="321" w:before="0" w:after="1"/>
              <w:ind w:left="0" w:right="0" w:hanging="0"/>
              <w:jc w:val="left"/>
              <w:rPr/>
            </w:pPr>
            <w:r>
              <w:rPr/>
              <w:t>​</w:t>
            </w:r>
          </w:p>
        </w:tc>
        <w:tc>
          <w:tcPr>
            <w:tcW w:w="1988"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Nine Months Ended</w:t>
            </w:r>
          </w:p>
        </w:tc>
      </w:tr>
      <w:tr>
        <w:trPr/>
        <w:tc>
          <w:tcPr>
            <w:tcW w:w="390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1913"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March 31, </w:t>
            </w:r>
          </w:p>
        </w:tc>
        <w:tc>
          <w:tcPr>
            <w:tcW w:w="346" w:type="dxa"/>
            <w:tcBorders/>
            <w:vAlign w:val="center"/>
          </w:tcPr>
          <w:p>
            <w:pPr>
              <w:pStyle w:val="TableContents"/>
              <w:bidi w:val="0"/>
              <w:spacing w:lineRule="auto" w:line="321" w:before="0" w:after="1"/>
              <w:ind w:left="0" w:right="0" w:hanging="0"/>
              <w:jc w:val="left"/>
              <w:rPr/>
            </w:pPr>
            <w:r>
              <w:rPr/>
              <w:t>​</w:t>
            </w:r>
          </w:p>
        </w:tc>
        <w:tc>
          <w:tcPr>
            <w:tcW w:w="1380"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December 31,</w:t>
            </w:r>
          </w:p>
        </w:tc>
        <w:tc>
          <w:tcPr>
            <w:tcW w:w="109" w:type="dxa"/>
            <w:tcBorders/>
            <w:vAlign w:val="center"/>
          </w:tcPr>
          <w:p>
            <w:pPr>
              <w:pStyle w:val="TableContents"/>
              <w:bidi w:val="0"/>
              <w:spacing w:lineRule="auto" w:line="321" w:before="0" w:after="1"/>
              <w:ind w:left="0" w:right="0" w:hanging="0"/>
              <w:jc w:val="left"/>
              <w:rPr/>
            </w:pPr>
            <w:r>
              <w:rPr/>
              <w:t>​</w:t>
            </w:r>
          </w:p>
        </w:tc>
        <w:tc>
          <w:tcPr>
            <w:tcW w:w="1988"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March 31, </w:t>
            </w:r>
          </w:p>
        </w:tc>
      </w:tr>
      <w:tr>
        <w:trPr/>
        <w:tc>
          <w:tcPr>
            <w:tcW w:w="3901" w:type="dxa"/>
            <w:tcBorders/>
            <w:vAlign w:val="center"/>
          </w:tcPr>
          <w:p>
            <w:pPr>
              <w:pStyle w:val="TableContents"/>
              <w:bidi w:val="0"/>
              <w:spacing w:lineRule="auto" w:line="321" w:before="0" w:after="1"/>
              <w:ind w:left="0" w:right="0" w:hanging="0"/>
              <w:jc w:val="left"/>
              <w:rPr/>
            </w:pPr>
            <w:r>
              <w:rPr/>
              <w:t> </w:t>
            </w:r>
          </w:p>
        </w:tc>
        <w:tc>
          <w:tcPr>
            <w:tcW w:w="109" w:type="dxa"/>
            <w:tcBorders/>
            <w:vAlign w:val="center"/>
          </w:tcPr>
          <w:p>
            <w:pPr>
              <w:pStyle w:val="TableContents"/>
              <w:bidi w:val="0"/>
              <w:spacing w:lineRule="auto" w:line="321"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c>
          <w:tcPr>
            <w:tcW w:w="346" w:type="dxa"/>
            <w:tcBorders/>
            <w:vAlign w:val="center"/>
          </w:tcPr>
          <w:p>
            <w:pPr>
              <w:pStyle w:val="TableContents"/>
              <w:bidi w:val="0"/>
              <w:spacing w:lineRule="auto" w:line="321" w:before="0" w:after="1"/>
              <w:ind w:left="0" w:right="0" w:hanging="0"/>
              <w:jc w:val="left"/>
              <w:rPr/>
            </w:pPr>
            <w:r>
              <w:rPr/>
              <w:t>  ​ ​ ​</w:t>
            </w:r>
          </w:p>
        </w:tc>
        <w:tc>
          <w:tcPr>
            <w:tcW w:w="1380"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c>
          <w:tcPr>
            <w:tcW w:w="109" w:type="dxa"/>
            <w:tcBorders/>
            <w:vAlign w:val="center"/>
          </w:tcPr>
          <w:p>
            <w:pPr>
              <w:pStyle w:val="TableContents"/>
              <w:bidi w:val="0"/>
              <w:spacing w:lineRule="auto" w:line="321"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97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r>
      <w:tr>
        <w:trPr/>
        <w:tc>
          <w:tcPr>
            <w:tcW w:w="3901" w:type="dxa"/>
            <w:tcBorders/>
            <w:shd w:fill="CCEEFF" w:val="clear"/>
            <w:vAlign w:val="center"/>
          </w:tcPr>
          <w:p>
            <w:pPr>
              <w:pStyle w:val="TableContents"/>
              <w:bidi w:val="0"/>
              <w:spacing w:lineRule="auto" w:line="321" w:before="0" w:after="1"/>
              <w:ind w:left="0" w:right="0" w:hanging="0"/>
              <w:jc w:val="left"/>
              <w:rPr>
                <w:rFonts w:ascii="Segoe UI" w:hAnsi="Segoe UI"/>
                <w:b/>
                <w:sz w:val="16"/>
              </w:rPr>
            </w:pPr>
            <w:r>
              <w:rPr>
                <w:rFonts w:ascii="Segoe UI" w:hAnsi="Segoe UI"/>
                <w:b/>
                <w:sz w:val="16"/>
              </w:rPr>
              <w:t>Net income (loss)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(8,932)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(2,179)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44"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3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1,065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(7,043)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6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(1,939)</w:t>
            </w:r>
          </w:p>
        </w:tc>
      </w:tr>
      <w:tr>
        <w:trPr/>
        <w:tc>
          <w:tcPr>
            <w:tcW w:w="390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Adjusted by:</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44" w:type="dxa"/>
            <w:tcBorders/>
            <w:vAlign w:val="center"/>
          </w:tcPr>
          <w:p>
            <w:pPr>
              <w:pStyle w:val="TableContents"/>
              <w:bidi w:val="0"/>
              <w:spacing w:lineRule="auto" w:line="321" w:before="0" w:after="1"/>
              <w:ind w:left="0" w:right="0" w:hanging="0"/>
              <w:jc w:val="left"/>
              <w:rPr/>
            </w:pPr>
            <w:r>
              <w:rPr/>
              <w:t>​</w:t>
            </w:r>
          </w:p>
        </w:tc>
        <w:tc>
          <w:tcPr>
            <w:tcW w:w="103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6" w:type="dxa"/>
            <w:tcBorders/>
            <w:vAlign w:val="center"/>
          </w:tcPr>
          <w:p>
            <w:pPr>
              <w:pStyle w:val="TableContents"/>
              <w:bidi w:val="0"/>
              <w:spacing w:lineRule="auto" w:line="321" w:before="0" w:after="1"/>
              <w:ind w:left="0" w:right="0" w:hanging="0"/>
              <w:jc w:val="left"/>
              <w:rPr/>
            </w:pPr>
            <w:r>
              <w:rPr/>
              <w:t>​</w:t>
            </w:r>
          </w:p>
        </w:tc>
      </w:tr>
      <w:tr>
        <w:trPr/>
        <w:tc>
          <w:tcPr>
            <w:tcW w:w="390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Interest expense</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960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705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44" w:type="dxa"/>
            <w:tcBorders/>
            <w:shd w:fill="CCEEFF" w:val="clear"/>
            <w:vAlign w:val="center"/>
          </w:tcPr>
          <w:p>
            <w:pPr>
              <w:pStyle w:val="TableContents"/>
              <w:bidi w:val="0"/>
              <w:spacing w:lineRule="auto" w:line="321" w:before="0" w:after="1"/>
              <w:ind w:left="0" w:right="0" w:hanging="0"/>
              <w:jc w:val="left"/>
              <w:rPr/>
            </w:pPr>
            <w:r>
              <w:rPr/>
              <w:t>​</w:t>
            </w:r>
          </w:p>
        </w:tc>
        <w:tc>
          <w:tcPr>
            <w:tcW w:w="103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1,003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2,880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2,292</w:t>
            </w:r>
          </w:p>
        </w:tc>
      </w:tr>
      <w:tr>
        <w:trPr/>
        <w:tc>
          <w:tcPr>
            <w:tcW w:w="390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Income tax expense (benefit)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(2,431)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(687)</w:t>
            </w:r>
          </w:p>
        </w:tc>
        <w:tc>
          <w:tcPr>
            <w:tcW w:w="346" w:type="dxa"/>
            <w:tcBorders/>
            <w:vAlign w:val="center"/>
          </w:tcPr>
          <w:p>
            <w:pPr>
              <w:pStyle w:val="TableContents"/>
              <w:bidi w:val="0"/>
              <w:spacing w:lineRule="auto" w:line="321" w:before="0" w:after="1"/>
              <w:ind w:left="0" w:right="0" w:hanging="0"/>
              <w:jc w:val="left"/>
              <w:rPr/>
            </w:pPr>
            <w:r>
              <w:rPr/>
              <w:t>​</w:t>
            </w:r>
          </w:p>
        </w:tc>
        <w:tc>
          <w:tcPr>
            <w:tcW w:w="344" w:type="dxa"/>
            <w:tcBorders/>
            <w:vAlign w:val="center"/>
          </w:tcPr>
          <w:p>
            <w:pPr>
              <w:pStyle w:val="TableContents"/>
              <w:bidi w:val="0"/>
              <w:spacing w:lineRule="auto" w:line="321" w:before="0" w:after="1"/>
              <w:ind w:left="0" w:right="0" w:hanging="0"/>
              <w:jc w:val="left"/>
              <w:rPr/>
            </w:pPr>
            <w:r>
              <w:rPr/>
              <w:t>​</w:t>
            </w:r>
          </w:p>
        </w:tc>
        <w:tc>
          <w:tcPr>
            <w:tcW w:w="103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837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(1,229)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(577)</w:t>
            </w:r>
          </w:p>
        </w:tc>
      </w:tr>
      <w:tr>
        <w:trPr/>
        <w:tc>
          <w:tcPr>
            <w:tcW w:w="390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Depletion, depreciation, and accretion</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5,294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5,014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44" w:type="dxa"/>
            <w:tcBorders/>
            <w:shd w:fill="CCEEFF" w:val="clear"/>
            <w:vAlign w:val="center"/>
          </w:tcPr>
          <w:p>
            <w:pPr>
              <w:pStyle w:val="TableContents"/>
              <w:bidi w:val="0"/>
              <w:spacing w:lineRule="auto" w:line="321" w:before="0" w:after="1"/>
              <w:ind w:left="0" w:right="0" w:hanging="0"/>
              <w:jc w:val="left"/>
              <w:rPr/>
            </w:pPr>
            <w:r>
              <w:rPr/>
              <w:t>​</w:t>
            </w:r>
          </w:p>
        </w:tc>
        <w:tc>
          <w:tcPr>
            <w:tcW w:w="103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5,919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17,174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76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16,172</w:t>
            </w:r>
          </w:p>
        </w:tc>
      </w:tr>
      <w:tr>
        <w:trPr/>
        <w:tc>
          <w:tcPr>
            <w:tcW w:w="390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Stock-based compensation</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595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642</w:t>
            </w:r>
          </w:p>
        </w:tc>
        <w:tc>
          <w:tcPr>
            <w:tcW w:w="346" w:type="dxa"/>
            <w:tcBorders/>
            <w:vAlign w:val="center"/>
          </w:tcPr>
          <w:p>
            <w:pPr>
              <w:pStyle w:val="TableContents"/>
              <w:bidi w:val="0"/>
              <w:spacing w:lineRule="auto" w:line="321" w:before="0" w:after="1"/>
              <w:ind w:left="0" w:right="0" w:hanging="0"/>
              <w:jc w:val="left"/>
              <w:rPr/>
            </w:pPr>
            <w:r>
              <w:rPr/>
              <w:t>​</w:t>
            </w:r>
          </w:p>
        </w:tc>
        <w:tc>
          <w:tcPr>
            <w:tcW w:w="344" w:type="dxa"/>
            <w:tcBorders/>
            <w:vAlign w:val="center"/>
          </w:tcPr>
          <w:p>
            <w:pPr>
              <w:pStyle w:val="TableContents"/>
              <w:bidi w:val="0"/>
              <w:spacing w:lineRule="auto" w:line="321" w:before="0" w:after="1"/>
              <w:ind w:left="0" w:right="0" w:hanging="0"/>
              <w:jc w:val="left"/>
              <w:rPr/>
            </w:pPr>
            <w:r>
              <w:rPr/>
              <w:t>​</w:t>
            </w:r>
          </w:p>
        </w:tc>
        <w:tc>
          <w:tcPr>
            <w:tcW w:w="103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613</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1,745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76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1,860</w:t>
            </w:r>
          </w:p>
        </w:tc>
      </w:tr>
      <w:tr>
        <w:trPr/>
        <w:tc>
          <w:tcPr>
            <w:tcW w:w="390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Unrealized loss (gain) on derivative contracts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7,621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3,926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(1,443)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4,875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3,426</w:t>
            </w:r>
          </w:p>
        </w:tc>
      </w:tr>
      <w:tr>
        <w:trPr/>
        <w:tc>
          <w:tcPr>
            <w:tcW w:w="3901" w:type="dxa"/>
            <w:tcBorders/>
            <w:vAlign w:val="center"/>
          </w:tcPr>
          <w:p>
            <w:pPr>
              <w:pStyle w:val="TableContents"/>
              <w:bidi w:val="0"/>
              <w:spacing w:lineRule="auto" w:line="321" w:before="0" w:after="1"/>
              <w:ind w:left="0" w:right="0" w:hanging="0"/>
              <w:jc w:val="left"/>
              <w:rPr>
                <w:rFonts w:ascii="Segoe UI" w:hAnsi="Segoe UI"/>
                <w:b/>
                <w:sz w:val="16"/>
              </w:rPr>
            </w:pPr>
            <w:r>
              <w:rPr>
                <w:rFonts w:ascii="Segoe UI" w:hAnsi="Segoe UI"/>
                <w:b/>
                <w:sz w:val="16"/>
              </w:rPr>
              <w:t>Adjusted EBITDA</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3,107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7,421</w:t>
            </w:r>
          </w:p>
        </w:tc>
        <w:tc>
          <w:tcPr>
            <w:tcW w:w="346" w:type="dxa"/>
            <w:tcBorders/>
            <w:vAlign w:val="center"/>
          </w:tcPr>
          <w:p>
            <w:pPr>
              <w:pStyle w:val="TableContents"/>
              <w:bidi w:val="0"/>
              <w:spacing w:lineRule="auto" w:line="321" w:before="0" w:after="1"/>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36"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7,994</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18,402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66" w:type="dxa"/>
            <w:tcBorders>
              <w:bottom w:val="double" w:sz="6" w:space="0" w:color="000000"/>
            </w:tcBorders>
            <w:tcMar>
              <w:bottom w:w="28" w:type="dxa"/>
            </w:tcMar>
            <w:vAlign w:val="center"/>
          </w:tcPr>
          <w:p>
            <w:pPr>
              <w:pStyle w:val="TableContents"/>
              <w:bidi w:val="0"/>
              <w:spacing w:lineRule="auto" w:line="321" w:before="0" w:after="1"/>
              <w:ind w:left="0" w:right="45" w:hanging="0"/>
              <w:jc w:val="right"/>
              <w:rPr>
                <w:rFonts w:ascii="Segoe UI" w:hAnsi="Segoe UI"/>
                <w:sz w:val="16"/>
              </w:rPr>
            </w:pPr>
            <w:r>
              <w:rPr>
                <w:rFonts w:ascii="Segoe UI" w:hAnsi="Segoe UI"/>
                <w:sz w:val="16"/>
              </w:rPr>
              <w:t>21,234</w:t>
            </w:r>
          </w:p>
        </w:tc>
      </w:tr>
    </w:tbl>
    <w:p>
      <w:pPr>
        <w:pStyle w:val="TextBody"/>
        <w:bidi w:val="0"/>
        <w:spacing w:lineRule="auto" w:line="321" w:before="0" w:after="0"/>
        <w:ind w:left="0" w:right="0" w:hanging="0"/>
        <w:jc w:val="left"/>
        <w:rPr/>
      </w:pPr>
      <w:r>
        <w:rPr/>
        <w:t>​</w:t>
      </w:r>
    </w:p>
    <w:p>
      <w:pPr>
        <w:pStyle w:val="TextBody"/>
        <w:bidi w:val="0"/>
        <w:spacing w:lineRule="auto" w:line="321" w:before="0" w:after="0"/>
        <w:ind w:left="0" w:right="0" w:hanging="0"/>
        <w:jc w:val="left"/>
        <w:rPr/>
      </w:pPr>
      <w:r>
        <w:rPr/>
        <w:t>​</w:t>
      </w:r>
    </w:p>
    <w:p>
      <w:pPr>
        <w:pStyle w:val="TextBody"/>
        <w:bidi w:val="0"/>
        <w:spacing w:lineRule="auto" w:line="307" w:before="0" w:after="60"/>
        <w:ind w:left="0" w:right="0" w:hanging="0"/>
        <w:jc w:val="left"/>
        <w:rPr/>
      </w:pPr>
      <w:r>
        <w:rPr/>
        <w:t>​</w:t>
      </w:r>
    </w:p>
    <w:p>
      <w:pPr>
        <w:pStyle w:val="TextBody"/>
        <w:bidi w:val="0"/>
        <w:spacing w:lineRule="auto" w:line="285" w:before="0" w:after="0"/>
        <w:ind w:left="0" w:right="0" w:hanging="0"/>
        <w:jc w:val="center"/>
        <w:rPr>
          <w:rFonts w:ascii="Segoe UI" w:hAnsi="Segoe UI"/>
          <w:sz w:val="22"/>
        </w:rPr>
      </w:pPr>
      <w:r>
        <w:rPr>
          <w:rFonts w:ascii="Segoe UI" w:hAnsi="Segoe UI"/>
          <w:sz w:val="22"/>
        </w:rPr>
        <w:t>10</w:t>
      </w:r>
    </w:p>
    <w:p>
      <w:pPr>
        <w:pStyle w:val="HorizontalLine"/>
        <w:pBdr>
          <w:bottom w:val="double" w:sz="2" w:space="0" w:color="808080"/>
        </w:pBdr>
        <w:bidi w:val="0"/>
        <w:spacing w:before="0" w:after="283"/>
        <w:jc w:val="left"/>
        <w:rPr/>
      </w:pPr>
      <w:r>
        <w:rPr/>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Evolution Petroleum Corporation</w:t>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Non-GAAP Reconciliation – Adjusted Net Income (Unaudited)</w:t>
      </w:r>
    </w:p>
    <w:p>
      <w:pPr>
        <w:pStyle w:val="TextBody"/>
        <w:bidi w:val="0"/>
        <w:spacing w:lineRule="auto" w:line="321" w:before="0" w:after="240"/>
        <w:ind w:left="0" w:right="0" w:hanging="0"/>
        <w:jc w:val="center"/>
        <w:rPr>
          <w:rFonts w:ascii="Segoe UI Semibold" w:hAnsi="Segoe UI Semibold"/>
          <w:sz w:val="22"/>
        </w:rPr>
      </w:pPr>
      <w:r>
        <w:rPr>
          <w:rFonts w:ascii="Segoe UI Semibold" w:hAnsi="Segoe UI Semibold"/>
          <w:sz w:val="22"/>
        </w:rPr>
        <w:t>(In thousands, except per share amounts)</w:t>
      </w:r>
    </w:p>
    <w:tbl>
      <w:tblPr>
        <w:tblW w:w="10205" w:type="dxa"/>
        <w:jc w:val="left"/>
        <w:tblInd w:w="0" w:type="dxa"/>
        <w:tblLayout w:type="fixed"/>
        <w:tblCellMar>
          <w:top w:w="0" w:type="dxa"/>
          <w:left w:w="0" w:type="dxa"/>
          <w:bottom w:w="0" w:type="dxa"/>
          <w:right w:w="0" w:type="dxa"/>
        </w:tblCellMar>
      </w:tblPr>
      <w:tblGrid>
        <w:gridCol w:w="4599"/>
        <w:gridCol w:w="109"/>
        <w:gridCol w:w="211"/>
        <w:gridCol w:w="668"/>
        <w:gridCol w:w="109"/>
        <w:gridCol w:w="211"/>
        <w:gridCol w:w="668"/>
        <w:gridCol w:w="346"/>
        <w:gridCol w:w="310"/>
        <w:gridCol w:w="935"/>
        <w:gridCol w:w="109"/>
        <w:gridCol w:w="212"/>
        <w:gridCol w:w="673"/>
        <w:gridCol w:w="109"/>
        <w:gridCol w:w="212"/>
        <w:gridCol w:w="724"/>
      </w:tblGrid>
      <w:tr>
        <w:trPr/>
        <w:tc>
          <w:tcPr>
            <w:tcW w:w="4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920365" cy="175260"/>
                      <wp:effectExtent l="0" t="0" r="0" b="0"/>
                      <wp:wrapNone/>
                      <wp:docPr id="70" name="Frame69"/>
                      <a:graphic xmlns:a="http://schemas.openxmlformats.org/drawingml/2006/main">
                        <a:graphicData uri="http://schemas.microsoft.com/office/word/2010/wordprocessingShape">
                          <wps:wsp>
                            <wps:cNvSpPr txBox="1"/>
                            <wps:spPr>
                              <a:xfrm>
                                <a:off x="0" y="0"/>
                                <a:ext cx="2920365" cy="175260"/>
                              </a:xfrm>
                              <a:prstGeom prst="rect"/>
                              <a:solidFill>
                                <a:srgbClr val="FFFFFF"/>
                              </a:solidFill>
                            </wps:spPr>
                            <wps:txbx>
                              <w:txbxContent>
                                <w:p>
                                  <w:pPr>
                                    <w:pStyle w:val="TableContents"/>
                                    <w:bidi w:val="0"/>
                                    <w:spacing w:lineRule="auto" w:line="321" w:before="0" w:after="1"/>
                                    <w:ind w:left="0" w:right="0" w:hanging="0"/>
                                    <w:jc w:val="left"/>
                                    <w:rPr/>
                                  </w:pPr>
                                  <w:bookmarkStart w:id="44" w:name="_Hlk208849809"/>
                                  <w:bookmarkEnd w:id="44"/>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bookmarkStart w:id="45" w:name="_Hlk208849809"/>
                            <w:bookmarkEnd w:id="45"/>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71"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24180" cy="175260"/>
                      <wp:effectExtent l="0" t="0" r="0" b="0"/>
                      <wp:wrapNone/>
                      <wp:docPr id="73" name="Frame72"/>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74"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24180" cy="175260"/>
                      <wp:effectExtent l="0" t="0" r="0" b="0"/>
                      <wp:wrapNone/>
                      <wp:docPr id="76" name="Frame75"/>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96850" cy="175260"/>
                      <wp:effectExtent l="0" t="0" r="0" b="0"/>
                      <wp:wrapNone/>
                      <wp:docPr id="78" name="Frame77"/>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93725" cy="175260"/>
                      <wp:effectExtent l="0" t="0" r="0" b="0"/>
                      <wp:wrapNone/>
                      <wp:docPr id="79" name="Frame78"/>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4620" cy="175260"/>
                      <wp:effectExtent l="0" t="0" r="0" b="0"/>
                      <wp:wrapNone/>
                      <wp:docPr id="81" name="Frame80"/>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27355" cy="175260"/>
                      <wp:effectExtent l="0" t="0" r="0" b="0"/>
                      <wp:wrapNone/>
                      <wp:docPr id="82" name="Frame81"/>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4620" cy="175260"/>
                      <wp:effectExtent l="0" t="0" r="0" b="0"/>
                      <wp:wrapNone/>
                      <wp:docPr id="84" name="Frame83"/>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59740" cy="175260"/>
                      <wp:effectExtent l="0" t="0" r="0" b="0"/>
                      <wp:wrapNone/>
                      <wp:docPr id="85" name="Frame84"/>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r>
      <w:tr>
        <w:trPr/>
        <w:tc>
          <w:tcPr>
            <w:tcW w:w="459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3458" w:type="dxa"/>
            <w:gridSpan w:val="8"/>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 xml:space="preserve">Three Months Ended </w:t>
            </w:r>
          </w:p>
        </w:tc>
        <w:tc>
          <w:tcPr>
            <w:tcW w:w="109" w:type="dxa"/>
            <w:tcBorders/>
            <w:vAlign w:val="center"/>
          </w:tcPr>
          <w:p>
            <w:pPr>
              <w:pStyle w:val="TableContents"/>
              <w:bidi w:val="0"/>
              <w:spacing w:lineRule="auto" w:line="321" w:before="0" w:after="1"/>
              <w:ind w:left="0" w:right="0" w:hanging="0"/>
              <w:jc w:val="left"/>
              <w:rPr/>
            </w:pPr>
            <w:r>
              <w:rPr/>
              <w:t>​</w:t>
            </w:r>
          </w:p>
        </w:tc>
        <w:tc>
          <w:tcPr>
            <w:tcW w:w="1930"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Nine Months Ended</w:t>
            </w:r>
          </w:p>
        </w:tc>
      </w:tr>
      <w:tr>
        <w:trPr/>
        <w:tc>
          <w:tcPr>
            <w:tcW w:w="4599" w:type="dxa"/>
            <w:tcBorders/>
            <w:vAlign w:val="center"/>
          </w:tcPr>
          <w:p>
            <w:pPr>
              <w:pStyle w:val="TableContents"/>
              <w:bidi w:val="0"/>
              <w:spacing w:lineRule="auto" w:line="321" w:before="0" w:after="1"/>
              <w:ind w:left="0" w:right="0" w:hanging="0"/>
              <w:jc w:val="left"/>
              <w:rPr/>
            </w:pPr>
            <w:r>
              <w:rPr/>
              <w:t> </w:t>
            </w:r>
          </w:p>
        </w:tc>
        <w:tc>
          <w:tcPr>
            <w:tcW w:w="109" w:type="dxa"/>
            <w:tcBorders/>
            <w:vAlign w:val="center"/>
          </w:tcPr>
          <w:p>
            <w:pPr>
              <w:pStyle w:val="TableContents"/>
              <w:bidi w:val="0"/>
              <w:spacing w:lineRule="auto" w:line="321" w:before="0" w:after="1"/>
              <w:ind w:left="0" w:right="0" w:hanging="0"/>
              <w:jc w:val="left"/>
              <w:rPr/>
            </w:pPr>
            <w:r>
              <w:rPr/>
              <w:t>​</w:t>
            </w:r>
          </w:p>
        </w:tc>
        <w:tc>
          <w:tcPr>
            <w:tcW w:w="1867"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March 31, </w:t>
            </w:r>
          </w:p>
        </w:tc>
        <w:tc>
          <w:tcPr>
            <w:tcW w:w="346" w:type="dxa"/>
            <w:tcBorders/>
            <w:vAlign w:val="center"/>
          </w:tcPr>
          <w:p>
            <w:pPr>
              <w:pStyle w:val="TableContents"/>
              <w:bidi w:val="0"/>
              <w:spacing w:lineRule="auto" w:line="321" w:before="0" w:after="1"/>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December 31,</w:t>
            </w:r>
          </w:p>
        </w:tc>
        <w:tc>
          <w:tcPr>
            <w:tcW w:w="109" w:type="dxa"/>
            <w:tcBorders/>
            <w:vAlign w:val="center"/>
          </w:tcPr>
          <w:p>
            <w:pPr>
              <w:pStyle w:val="TableContents"/>
              <w:bidi w:val="0"/>
              <w:spacing w:lineRule="auto" w:line="321" w:before="0" w:after="1"/>
              <w:ind w:left="0" w:right="0" w:hanging="0"/>
              <w:jc w:val="left"/>
              <w:rPr/>
            </w:pPr>
            <w:r>
              <w:rPr/>
              <w:t>​</w:t>
            </w:r>
          </w:p>
        </w:tc>
        <w:tc>
          <w:tcPr>
            <w:tcW w:w="1930"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March 31, </w:t>
            </w:r>
          </w:p>
        </w:tc>
      </w:tr>
      <w:tr>
        <w:trPr/>
        <w:tc>
          <w:tcPr>
            <w:tcW w:w="459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879"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879"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c>
          <w:tcPr>
            <w:tcW w:w="346" w:type="dxa"/>
            <w:tcBorders/>
            <w:vAlign w:val="center"/>
          </w:tcPr>
          <w:p>
            <w:pPr>
              <w:pStyle w:val="TableContents"/>
              <w:bidi w:val="0"/>
              <w:spacing w:lineRule="auto" w:line="321" w:before="0" w:after="1"/>
              <w:ind w:left="0" w:right="0" w:hanging="0"/>
              <w:jc w:val="left"/>
              <w:rPr/>
            </w:pPr>
            <w:r>
              <w:rPr/>
              <w:t>  ​ ​ ​</w:t>
            </w:r>
          </w:p>
        </w:tc>
        <w:tc>
          <w:tcPr>
            <w:tcW w:w="1245"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c>
          <w:tcPr>
            <w:tcW w:w="109" w:type="dxa"/>
            <w:tcBorders/>
            <w:vAlign w:val="center"/>
          </w:tcPr>
          <w:p>
            <w:pPr>
              <w:pStyle w:val="TableContents"/>
              <w:bidi w:val="0"/>
              <w:spacing w:lineRule="auto" w:line="321" w:before="0" w:after="1"/>
              <w:ind w:left="0" w:right="0" w:hanging="0"/>
              <w:jc w:val="left"/>
              <w:rPr/>
            </w:pPr>
            <w:r>
              <w:rPr/>
              <w:t>​</w:t>
            </w:r>
          </w:p>
        </w:tc>
        <w:tc>
          <w:tcPr>
            <w:tcW w:w="885"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936"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r>
      <w:tr>
        <w:trPr/>
        <w:tc>
          <w:tcPr>
            <w:tcW w:w="4599" w:type="dxa"/>
            <w:tcBorders/>
            <w:shd w:fill="CCEEFF" w:val="clear"/>
            <w:vAlign w:val="center"/>
          </w:tcPr>
          <w:p>
            <w:pPr>
              <w:pStyle w:val="TableContents"/>
              <w:bidi w:val="0"/>
              <w:spacing w:lineRule="auto" w:line="321" w:before="0" w:after="1"/>
              <w:ind w:left="0" w:right="0" w:hanging="0"/>
              <w:jc w:val="left"/>
              <w:rPr>
                <w:rFonts w:ascii="Segoe UI" w:hAnsi="Segoe UI"/>
                <w:b/>
                <w:sz w:val="16"/>
              </w:rPr>
            </w:pPr>
            <w:r>
              <w:rPr>
                <w:rFonts w:ascii="Segoe UI" w:hAnsi="Segoe UI"/>
                <w:b/>
                <w:sz w:val="16"/>
              </w:rPr>
              <w:t>As Reported:</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8"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8"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shd w:fill="CCEEFF" w:val="clear"/>
            <w:vAlign w:val="center"/>
          </w:tcPr>
          <w:p>
            <w:pPr>
              <w:pStyle w:val="TableContents"/>
              <w:bidi w:val="0"/>
              <w:spacing w:lineRule="auto" w:line="321" w:before="0" w:after="1"/>
              <w:ind w:left="0" w:right="0" w:hanging="0"/>
              <w:jc w:val="left"/>
              <w:rPr/>
            </w:pPr>
            <w:r>
              <w:rPr/>
              <w:t>​</w:t>
            </w:r>
          </w:p>
        </w:tc>
        <w:tc>
          <w:tcPr>
            <w:tcW w:w="935"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shd w:fill="CCEEFF" w:val="clear"/>
            <w:vAlign w:val="center"/>
          </w:tcPr>
          <w:p>
            <w:pPr>
              <w:pStyle w:val="TableContents"/>
              <w:bidi w:val="0"/>
              <w:spacing w:lineRule="auto" w:line="321" w:before="0" w:after="1"/>
              <w:ind w:left="0" w:right="0" w:hanging="0"/>
              <w:jc w:val="left"/>
              <w:rPr/>
            </w:pPr>
            <w:r>
              <w:rPr/>
              <w:t>​</w:t>
            </w:r>
          </w:p>
        </w:tc>
        <w:tc>
          <w:tcPr>
            <w:tcW w:w="673"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shd w:fill="CCEEFF" w:val="clear"/>
            <w:vAlign w:val="center"/>
          </w:tcPr>
          <w:p>
            <w:pPr>
              <w:pStyle w:val="TableContents"/>
              <w:bidi w:val="0"/>
              <w:spacing w:lineRule="auto" w:line="321" w:before="0" w:after="1"/>
              <w:ind w:left="0" w:right="0" w:hanging="0"/>
              <w:jc w:val="left"/>
              <w:rPr/>
            </w:pPr>
            <w:r>
              <w:rPr/>
              <w:t>​</w:t>
            </w:r>
          </w:p>
        </w:tc>
        <w:tc>
          <w:tcPr>
            <w:tcW w:w="724" w:type="dxa"/>
            <w:tcBorders/>
            <w:shd w:fill="CCEEFF" w:val="clear"/>
            <w:vAlign w:val="center"/>
          </w:tcPr>
          <w:p>
            <w:pPr>
              <w:pStyle w:val="TableContents"/>
              <w:bidi w:val="0"/>
              <w:spacing w:lineRule="auto" w:line="321" w:before="0" w:after="1"/>
              <w:ind w:left="0" w:right="0" w:hanging="0"/>
              <w:jc w:val="left"/>
              <w:rPr/>
            </w:pPr>
            <w:r>
              <w:rPr/>
              <w:t>​</w:t>
            </w:r>
          </w:p>
        </w:tc>
      </w:tr>
      <w:tr>
        <w:trPr/>
        <w:tc>
          <w:tcPr>
            <w:tcW w:w="4599"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Net income (loss), as reported</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(8,932)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(2,179)</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93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1,065</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(7,043)</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24"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(1,939)</w:t>
            </w:r>
          </w:p>
        </w:tc>
      </w:tr>
      <w:tr>
        <w:trPr/>
        <w:tc>
          <w:tcPr>
            <w:tcW w:w="4599"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8"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8"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shd w:fill="CCEEFF" w:val="clear"/>
            <w:vAlign w:val="center"/>
          </w:tcPr>
          <w:p>
            <w:pPr>
              <w:pStyle w:val="TableContents"/>
              <w:bidi w:val="0"/>
              <w:spacing w:lineRule="auto" w:line="321" w:before="0" w:after="1"/>
              <w:ind w:left="0" w:right="0" w:hanging="0"/>
              <w:jc w:val="left"/>
              <w:rPr/>
            </w:pPr>
            <w:r>
              <w:rPr/>
              <w:t>​</w:t>
            </w:r>
          </w:p>
        </w:tc>
        <w:tc>
          <w:tcPr>
            <w:tcW w:w="935"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shd w:fill="CCEEFF" w:val="clear"/>
            <w:vAlign w:val="center"/>
          </w:tcPr>
          <w:p>
            <w:pPr>
              <w:pStyle w:val="TableContents"/>
              <w:bidi w:val="0"/>
              <w:spacing w:lineRule="auto" w:line="321" w:before="0" w:after="1"/>
              <w:ind w:left="0" w:right="0" w:hanging="0"/>
              <w:jc w:val="left"/>
              <w:rPr/>
            </w:pPr>
            <w:r>
              <w:rPr/>
              <w:t>​</w:t>
            </w:r>
          </w:p>
        </w:tc>
        <w:tc>
          <w:tcPr>
            <w:tcW w:w="673"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shd w:fill="CCEEFF" w:val="clear"/>
            <w:vAlign w:val="center"/>
          </w:tcPr>
          <w:p>
            <w:pPr>
              <w:pStyle w:val="TableContents"/>
              <w:bidi w:val="0"/>
              <w:spacing w:lineRule="auto" w:line="321" w:before="0" w:after="1"/>
              <w:ind w:left="0" w:right="0" w:hanging="0"/>
              <w:jc w:val="left"/>
              <w:rPr/>
            </w:pPr>
            <w:r>
              <w:rPr/>
              <w:t>​</w:t>
            </w:r>
          </w:p>
        </w:tc>
        <w:tc>
          <w:tcPr>
            <w:tcW w:w="724" w:type="dxa"/>
            <w:tcBorders/>
            <w:shd w:fill="CCEEFF" w:val="clear"/>
            <w:vAlign w:val="center"/>
          </w:tcPr>
          <w:p>
            <w:pPr>
              <w:pStyle w:val="TableContents"/>
              <w:bidi w:val="0"/>
              <w:spacing w:lineRule="auto" w:line="321" w:before="0" w:after="1"/>
              <w:ind w:left="0" w:right="0" w:hanging="0"/>
              <w:jc w:val="left"/>
              <w:rPr/>
            </w:pPr>
            <w:r>
              <w:rPr/>
              <w:t>​</w:t>
            </w:r>
          </w:p>
        </w:tc>
      </w:tr>
      <w:tr>
        <w:trPr/>
        <w:tc>
          <w:tcPr>
            <w:tcW w:w="4599" w:type="dxa"/>
            <w:tcBorders/>
            <w:vAlign w:val="center"/>
          </w:tcPr>
          <w:p>
            <w:pPr>
              <w:pStyle w:val="TableContents"/>
              <w:bidi w:val="0"/>
              <w:spacing w:lineRule="auto" w:line="321" w:before="0" w:after="1"/>
              <w:ind w:left="0" w:right="0" w:hanging="0"/>
              <w:jc w:val="left"/>
              <w:rPr>
                <w:rFonts w:ascii="Segoe UI" w:hAnsi="Segoe UI"/>
                <w:b/>
                <w:sz w:val="16"/>
              </w:rPr>
            </w:pPr>
            <w:r>
              <w:rPr>
                <w:rFonts w:ascii="Segoe UI" w:hAnsi="Segoe UI"/>
                <w:b/>
                <w:sz w:val="16"/>
              </w:rPr>
              <w:t>Impact of Selected Items: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8"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8"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vAlign w:val="center"/>
          </w:tcPr>
          <w:p>
            <w:pPr>
              <w:pStyle w:val="TableContents"/>
              <w:bidi w:val="0"/>
              <w:spacing w:lineRule="auto" w:line="321" w:before="0" w:after="1"/>
              <w:ind w:left="0" w:right="0" w:hanging="0"/>
              <w:jc w:val="left"/>
              <w:rPr/>
            </w:pPr>
            <w:r>
              <w:rPr/>
              <w:t>​</w:t>
            </w:r>
          </w:p>
        </w:tc>
        <w:tc>
          <w:tcPr>
            <w:tcW w:w="935"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vAlign w:val="center"/>
          </w:tcPr>
          <w:p>
            <w:pPr>
              <w:pStyle w:val="TableContents"/>
              <w:bidi w:val="0"/>
              <w:spacing w:lineRule="auto" w:line="321" w:before="0" w:after="1"/>
              <w:ind w:left="0" w:right="0" w:hanging="0"/>
              <w:jc w:val="left"/>
              <w:rPr/>
            </w:pPr>
            <w:r>
              <w:rPr/>
              <w:t>​</w:t>
            </w:r>
          </w:p>
        </w:tc>
        <w:tc>
          <w:tcPr>
            <w:tcW w:w="673"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vAlign w:val="center"/>
          </w:tcPr>
          <w:p>
            <w:pPr>
              <w:pStyle w:val="TableContents"/>
              <w:bidi w:val="0"/>
              <w:spacing w:lineRule="auto" w:line="321" w:before="0" w:after="1"/>
              <w:ind w:left="0" w:right="0" w:hanging="0"/>
              <w:jc w:val="left"/>
              <w:rPr/>
            </w:pPr>
            <w:r>
              <w:rPr/>
              <w:t>​</w:t>
            </w:r>
          </w:p>
        </w:tc>
        <w:tc>
          <w:tcPr>
            <w:tcW w:w="724" w:type="dxa"/>
            <w:tcBorders/>
            <w:vAlign w:val="center"/>
          </w:tcPr>
          <w:p>
            <w:pPr>
              <w:pStyle w:val="TableContents"/>
              <w:bidi w:val="0"/>
              <w:spacing w:lineRule="auto" w:line="321" w:before="0" w:after="1"/>
              <w:ind w:left="0" w:right="0" w:hanging="0"/>
              <w:jc w:val="left"/>
              <w:rPr/>
            </w:pPr>
            <w:r>
              <w:rPr/>
              <w:t>​</w:t>
            </w:r>
          </w:p>
        </w:tc>
      </w:tr>
      <w:tr>
        <w:trPr/>
        <w:tc>
          <w:tcPr>
            <w:tcW w:w="4599"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Unrealized loss (gain) on commodity contracts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7,621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3,926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(1,443)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4,875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24"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3,426</w:t>
            </w:r>
          </w:p>
        </w:tc>
      </w:tr>
      <w:tr>
        <w:trPr/>
        <w:tc>
          <w:tcPr>
            <w:tcW w:w="4599"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Selected items, before income taxes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7,621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3,926</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93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(1,443)</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4,875</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24"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3,426</w:t>
            </w:r>
          </w:p>
        </w:tc>
      </w:tr>
      <w:tr>
        <w:trPr/>
        <w:tc>
          <w:tcPr>
            <w:tcW w:w="4599" w:type="dxa"/>
            <w:tcBorders/>
            <w:shd w:fill="CCEEFF" w:val="clear"/>
            <w:vAlign w:val="center"/>
          </w:tcPr>
          <w:p>
            <w:pPr>
              <w:pStyle w:val="TableContents"/>
              <w:bidi w:val="0"/>
              <w:spacing w:before="0" w:after="1"/>
              <w:ind w:left="0" w:right="0" w:hanging="0"/>
              <w:jc w:val="left"/>
              <w:rPr>
                <w:rFonts w:ascii="Segoe UI" w:hAnsi="Segoe UI"/>
                <w:sz w:val="16"/>
              </w:rPr>
            </w:pPr>
            <w:r>
              <w:rPr>
                <w:rFonts w:ascii="Segoe UI" w:hAnsi="Segoe UI"/>
                <w:sz w:val="16"/>
              </w:rPr>
              <w:t>Income tax effect of selected items</w:t>
            </w:r>
            <w:r>
              <w:rPr>
                <w:rFonts w:ascii="Segoe UI" w:hAnsi="Segoe UI"/>
                <w:sz w:val="12"/>
              </w:rPr>
              <w:t>(1)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1,630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941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(635)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724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24"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786</w:t>
            </w:r>
          </w:p>
        </w:tc>
      </w:tr>
      <w:tr>
        <w:trPr/>
        <w:tc>
          <w:tcPr>
            <w:tcW w:w="4599"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Selected items, net of tax</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5,991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2,985</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93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(808)</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4,151</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24"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2,640</w:t>
            </w:r>
          </w:p>
        </w:tc>
      </w:tr>
      <w:tr>
        <w:trPr/>
        <w:tc>
          <w:tcPr>
            <w:tcW w:w="4599"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8"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8"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shd w:fill="CCEEFF" w:val="clear"/>
            <w:vAlign w:val="center"/>
          </w:tcPr>
          <w:p>
            <w:pPr>
              <w:pStyle w:val="TableContents"/>
              <w:bidi w:val="0"/>
              <w:spacing w:lineRule="auto" w:line="321" w:before="0" w:after="1"/>
              <w:ind w:left="0" w:right="0" w:hanging="0"/>
              <w:jc w:val="left"/>
              <w:rPr/>
            </w:pPr>
            <w:r>
              <w:rPr/>
              <w:t>​</w:t>
            </w:r>
          </w:p>
        </w:tc>
        <w:tc>
          <w:tcPr>
            <w:tcW w:w="935"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shd w:fill="CCEEFF" w:val="clear"/>
            <w:vAlign w:val="center"/>
          </w:tcPr>
          <w:p>
            <w:pPr>
              <w:pStyle w:val="TableContents"/>
              <w:bidi w:val="0"/>
              <w:spacing w:lineRule="auto" w:line="321" w:before="0" w:after="1"/>
              <w:ind w:left="0" w:right="0" w:hanging="0"/>
              <w:jc w:val="left"/>
              <w:rPr/>
            </w:pPr>
            <w:r>
              <w:rPr/>
              <w:t>​</w:t>
            </w:r>
          </w:p>
        </w:tc>
        <w:tc>
          <w:tcPr>
            <w:tcW w:w="673"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shd w:fill="CCEEFF" w:val="clear"/>
            <w:vAlign w:val="center"/>
          </w:tcPr>
          <w:p>
            <w:pPr>
              <w:pStyle w:val="TableContents"/>
              <w:bidi w:val="0"/>
              <w:spacing w:lineRule="auto" w:line="321" w:before="0" w:after="1"/>
              <w:ind w:left="0" w:right="0" w:hanging="0"/>
              <w:jc w:val="left"/>
              <w:rPr/>
            </w:pPr>
            <w:r>
              <w:rPr/>
              <w:t>​</w:t>
            </w:r>
          </w:p>
        </w:tc>
        <w:tc>
          <w:tcPr>
            <w:tcW w:w="724" w:type="dxa"/>
            <w:tcBorders/>
            <w:shd w:fill="CCEEFF" w:val="clear"/>
            <w:vAlign w:val="center"/>
          </w:tcPr>
          <w:p>
            <w:pPr>
              <w:pStyle w:val="TableContents"/>
              <w:bidi w:val="0"/>
              <w:spacing w:lineRule="auto" w:line="321" w:before="0" w:after="1"/>
              <w:ind w:left="0" w:right="0" w:hanging="0"/>
              <w:jc w:val="left"/>
              <w:rPr/>
            </w:pPr>
            <w:r>
              <w:rPr/>
              <w:t>​</w:t>
            </w:r>
          </w:p>
        </w:tc>
      </w:tr>
      <w:tr>
        <w:trPr/>
        <w:tc>
          <w:tcPr>
            <w:tcW w:w="4599"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As Adjusted:</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8"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8"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vAlign w:val="center"/>
          </w:tcPr>
          <w:p>
            <w:pPr>
              <w:pStyle w:val="TableContents"/>
              <w:bidi w:val="0"/>
              <w:spacing w:lineRule="auto" w:line="321" w:before="0" w:after="1"/>
              <w:ind w:left="0" w:right="0" w:hanging="0"/>
              <w:jc w:val="left"/>
              <w:rPr/>
            </w:pPr>
            <w:r>
              <w:rPr/>
              <w:t>​</w:t>
            </w:r>
          </w:p>
        </w:tc>
        <w:tc>
          <w:tcPr>
            <w:tcW w:w="935"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vAlign w:val="center"/>
          </w:tcPr>
          <w:p>
            <w:pPr>
              <w:pStyle w:val="TableContents"/>
              <w:bidi w:val="0"/>
              <w:spacing w:lineRule="auto" w:line="321" w:before="0" w:after="1"/>
              <w:ind w:left="0" w:right="0" w:hanging="0"/>
              <w:jc w:val="left"/>
              <w:rPr/>
            </w:pPr>
            <w:r>
              <w:rPr/>
              <w:t>​</w:t>
            </w:r>
          </w:p>
        </w:tc>
        <w:tc>
          <w:tcPr>
            <w:tcW w:w="673"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vAlign w:val="center"/>
          </w:tcPr>
          <w:p>
            <w:pPr>
              <w:pStyle w:val="TableContents"/>
              <w:bidi w:val="0"/>
              <w:spacing w:lineRule="auto" w:line="321" w:before="0" w:after="1"/>
              <w:ind w:left="0" w:right="0" w:hanging="0"/>
              <w:jc w:val="left"/>
              <w:rPr/>
            </w:pPr>
            <w:r>
              <w:rPr/>
              <w:t>​</w:t>
            </w:r>
          </w:p>
        </w:tc>
        <w:tc>
          <w:tcPr>
            <w:tcW w:w="724" w:type="dxa"/>
            <w:tcBorders/>
            <w:vAlign w:val="center"/>
          </w:tcPr>
          <w:p>
            <w:pPr>
              <w:pStyle w:val="TableContents"/>
              <w:bidi w:val="0"/>
              <w:spacing w:lineRule="auto" w:line="321" w:before="0" w:after="1"/>
              <w:ind w:left="0" w:right="0" w:hanging="0"/>
              <w:jc w:val="left"/>
              <w:rPr/>
            </w:pPr>
            <w:r>
              <w:rPr/>
              <w:t>​</w:t>
            </w:r>
          </w:p>
        </w:tc>
      </w:tr>
      <w:tr>
        <w:trPr/>
        <w:tc>
          <w:tcPr>
            <w:tcW w:w="4599" w:type="dxa"/>
            <w:tcBorders/>
            <w:shd w:fill="CCEEFF" w:val="clear"/>
            <w:vAlign w:val="center"/>
          </w:tcPr>
          <w:p>
            <w:pPr>
              <w:pStyle w:val="TableContents"/>
              <w:bidi w:val="0"/>
              <w:spacing w:before="0" w:after="1"/>
              <w:ind w:left="0" w:right="0" w:hanging="0"/>
              <w:jc w:val="left"/>
              <w:rPr>
                <w:rFonts w:ascii="Segoe UI" w:hAnsi="Segoe UI"/>
                <w:sz w:val="16"/>
              </w:rPr>
            </w:pPr>
            <w:r>
              <w:rPr>
                <w:rFonts w:ascii="Segoe UI" w:hAnsi="Segoe UI"/>
                <w:sz w:val="16"/>
              </w:rPr>
              <w:t>Net income (loss), excluding selected items</w:t>
            </w:r>
            <w:r>
              <w:rPr>
                <w:rFonts w:ascii="Segoe UI" w:hAnsi="Segoe UI"/>
                <w:sz w:val="12"/>
              </w:rPr>
              <w:t>(2)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8"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(2,941)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8"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806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935"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3"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(2,892)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24"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701</w:t>
            </w:r>
          </w:p>
        </w:tc>
      </w:tr>
      <w:tr>
        <w:trPr/>
        <w:tc>
          <w:tcPr>
            <w:tcW w:w="459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8"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8"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vAlign w:val="center"/>
          </w:tcPr>
          <w:p>
            <w:pPr>
              <w:pStyle w:val="TableContents"/>
              <w:bidi w:val="0"/>
              <w:spacing w:lineRule="auto" w:line="321" w:before="0" w:after="1"/>
              <w:ind w:left="0" w:right="0" w:hanging="0"/>
              <w:jc w:val="left"/>
              <w:rPr/>
            </w:pPr>
            <w:r>
              <w:rPr/>
              <w:t>​</w:t>
            </w:r>
          </w:p>
        </w:tc>
        <w:tc>
          <w:tcPr>
            <w:tcW w:w="935"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vAlign w:val="center"/>
          </w:tcPr>
          <w:p>
            <w:pPr>
              <w:pStyle w:val="TableContents"/>
              <w:bidi w:val="0"/>
              <w:spacing w:lineRule="auto" w:line="321" w:before="0" w:after="1"/>
              <w:ind w:left="0" w:right="0" w:hanging="0"/>
              <w:jc w:val="left"/>
              <w:rPr/>
            </w:pPr>
            <w:r>
              <w:rPr/>
              <w:t>​</w:t>
            </w:r>
          </w:p>
        </w:tc>
        <w:tc>
          <w:tcPr>
            <w:tcW w:w="673"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vAlign w:val="center"/>
          </w:tcPr>
          <w:p>
            <w:pPr>
              <w:pStyle w:val="TableContents"/>
              <w:bidi w:val="0"/>
              <w:spacing w:lineRule="auto" w:line="321" w:before="0" w:after="1"/>
              <w:ind w:left="0" w:right="0" w:hanging="0"/>
              <w:jc w:val="left"/>
              <w:rPr/>
            </w:pPr>
            <w:r>
              <w:rPr/>
              <w:t>​</w:t>
            </w:r>
          </w:p>
        </w:tc>
        <w:tc>
          <w:tcPr>
            <w:tcW w:w="724" w:type="dxa"/>
            <w:tcBorders/>
            <w:vAlign w:val="center"/>
          </w:tcPr>
          <w:p>
            <w:pPr>
              <w:pStyle w:val="TableContents"/>
              <w:bidi w:val="0"/>
              <w:spacing w:lineRule="auto" w:line="321" w:before="0" w:after="1"/>
              <w:ind w:left="0" w:right="0" w:hanging="0"/>
              <w:jc w:val="left"/>
              <w:rPr/>
            </w:pPr>
            <w:r>
              <w:rPr/>
              <w:t>​</w:t>
            </w:r>
          </w:p>
        </w:tc>
      </w:tr>
      <w:tr>
        <w:trPr/>
        <w:tc>
          <w:tcPr>
            <w:tcW w:w="4599"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Undistributed earnings allocated to unvested restricted stock</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(105)</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(291)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24"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(274)</w:t>
            </w:r>
          </w:p>
        </w:tc>
      </w:tr>
      <w:tr>
        <w:trPr/>
        <w:tc>
          <w:tcPr>
            <w:tcW w:w="4599"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Net income (loss), excluding selected items for earnings per share calculation</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8"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(3,046)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8"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710</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935"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153</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3"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(3,183)</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24"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427</w:t>
            </w:r>
          </w:p>
        </w:tc>
      </w:tr>
      <w:tr>
        <w:trPr/>
        <w:tc>
          <w:tcPr>
            <w:tcW w:w="4599"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8"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8"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shd w:fill="CCEEFF" w:val="clear"/>
            <w:vAlign w:val="center"/>
          </w:tcPr>
          <w:p>
            <w:pPr>
              <w:pStyle w:val="TableContents"/>
              <w:bidi w:val="0"/>
              <w:spacing w:lineRule="auto" w:line="321" w:before="0" w:after="1"/>
              <w:ind w:left="0" w:right="0" w:hanging="0"/>
              <w:jc w:val="left"/>
              <w:rPr/>
            </w:pPr>
            <w:r>
              <w:rPr/>
              <w:t>​</w:t>
            </w:r>
          </w:p>
        </w:tc>
        <w:tc>
          <w:tcPr>
            <w:tcW w:w="935"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shd w:fill="CCEEFF" w:val="clear"/>
            <w:vAlign w:val="center"/>
          </w:tcPr>
          <w:p>
            <w:pPr>
              <w:pStyle w:val="TableContents"/>
              <w:bidi w:val="0"/>
              <w:spacing w:lineRule="auto" w:line="321" w:before="0" w:after="1"/>
              <w:ind w:left="0" w:right="0" w:hanging="0"/>
              <w:jc w:val="left"/>
              <w:rPr/>
            </w:pPr>
            <w:r>
              <w:rPr/>
              <w:t>​</w:t>
            </w:r>
          </w:p>
        </w:tc>
        <w:tc>
          <w:tcPr>
            <w:tcW w:w="673"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shd w:fill="CCEEFF" w:val="clear"/>
            <w:vAlign w:val="center"/>
          </w:tcPr>
          <w:p>
            <w:pPr>
              <w:pStyle w:val="TableContents"/>
              <w:bidi w:val="0"/>
              <w:spacing w:lineRule="auto" w:line="321" w:before="0" w:after="1"/>
              <w:ind w:left="0" w:right="0" w:hanging="0"/>
              <w:jc w:val="left"/>
              <w:rPr/>
            </w:pPr>
            <w:r>
              <w:rPr/>
              <w:t>​</w:t>
            </w:r>
          </w:p>
        </w:tc>
        <w:tc>
          <w:tcPr>
            <w:tcW w:w="724" w:type="dxa"/>
            <w:tcBorders/>
            <w:shd w:fill="CCEEFF" w:val="clear"/>
            <w:vAlign w:val="center"/>
          </w:tcPr>
          <w:p>
            <w:pPr>
              <w:pStyle w:val="TableContents"/>
              <w:bidi w:val="0"/>
              <w:spacing w:lineRule="auto" w:line="321" w:before="0" w:after="1"/>
              <w:ind w:left="0" w:right="0" w:hanging="0"/>
              <w:jc w:val="left"/>
              <w:rPr/>
            </w:pPr>
            <w:r>
              <w:rPr/>
              <w:t>​</w:t>
            </w:r>
          </w:p>
        </w:tc>
      </w:tr>
      <w:tr>
        <w:trPr/>
        <w:tc>
          <w:tcPr>
            <w:tcW w:w="4599"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Net income (loss) per common share — Basic, as reported</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(0.26)</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8"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(0.07)</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935"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0.03</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3"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(0.22)</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24" w:type="dxa"/>
            <w:tcBorders/>
            <w:vAlign w:val="center"/>
          </w:tcPr>
          <w:p>
            <w:pPr>
              <w:pStyle w:val="TableContents"/>
              <w:bidi w:val="0"/>
              <w:spacing w:lineRule="auto" w:line="321" w:before="0" w:after="1"/>
              <w:ind w:left="0" w:right="0" w:hanging="0"/>
              <w:jc w:val="right"/>
              <w:rPr>
                <w:rFonts w:ascii="Helvetica;sans-serif" w:hAnsi="Helvetica;sans-serif"/>
                <w:sz w:val="16"/>
              </w:rPr>
            </w:pPr>
            <w:r>
              <w:rPr>
                <w:rFonts w:ascii="Helvetica;sans-serif" w:hAnsi="Helvetica;sans-serif"/>
                <w:sz w:val="16"/>
              </w:rPr>
              <w:t>(0.07)</w:t>
            </w:r>
          </w:p>
        </w:tc>
      </w:tr>
      <w:tr>
        <w:trPr/>
        <w:tc>
          <w:tcPr>
            <w:tcW w:w="4599"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Impact of selected items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0.17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3"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0.13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24"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0.08</w:t>
            </w:r>
          </w:p>
        </w:tc>
      </w:tr>
      <w:tr>
        <w:trPr/>
        <w:tc>
          <w:tcPr>
            <w:tcW w:w="4599" w:type="dxa"/>
            <w:tcBorders/>
            <w:vAlign w:val="center"/>
          </w:tcPr>
          <w:p>
            <w:pPr>
              <w:pStyle w:val="TableContents"/>
              <w:bidi w:val="0"/>
              <w:spacing w:before="0" w:after="1"/>
              <w:ind w:left="0" w:right="0" w:hanging="0"/>
              <w:jc w:val="left"/>
              <w:rPr>
                <w:rFonts w:ascii="Segoe UI" w:hAnsi="Segoe UI"/>
                <w:sz w:val="16"/>
              </w:rPr>
            </w:pPr>
            <w:r>
              <w:rPr>
                <w:rFonts w:ascii="Segoe UI" w:hAnsi="Segoe UI"/>
                <w:sz w:val="16"/>
              </w:rPr>
              <w:t>Net income (loss) per common share — Basic, excluding selected items</w:t>
            </w:r>
            <w:r>
              <w:rPr>
                <w:rFonts w:ascii="Segoe UI" w:hAnsi="Segoe UI"/>
                <w:sz w:val="12"/>
              </w:rPr>
              <w:t>(2)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8"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8"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0.02</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935"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3"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(0.09)</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24"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0.01</w:t>
            </w:r>
          </w:p>
        </w:tc>
      </w:tr>
      <w:tr>
        <w:trPr/>
        <w:tc>
          <w:tcPr>
            <w:tcW w:w="4599"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8"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8"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shd w:fill="CCEEFF" w:val="clear"/>
            <w:vAlign w:val="center"/>
          </w:tcPr>
          <w:p>
            <w:pPr>
              <w:pStyle w:val="TableContents"/>
              <w:bidi w:val="0"/>
              <w:spacing w:lineRule="auto" w:line="321" w:before="0" w:after="1"/>
              <w:ind w:left="0" w:right="0" w:hanging="0"/>
              <w:jc w:val="left"/>
              <w:rPr/>
            </w:pPr>
            <w:r>
              <w:rPr/>
              <w:t>​</w:t>
            </w:r>
          </w:p>
        </w:tc>
        <w:tc>
          <w:tcPr>
            <w:tcW w:w="935"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shd w:fill="CCEEFF" w:val="clear"/>
            <w:vAlign w:val="center"/>
          </w:tcPr>
          <w:p>
            <w:pPr>
              <w:pStyle w:val="TableContents"/>
              <w:bidi w:val="0"/>
              <w:spacing w:lineRule="auto" w:line="321" w:before="0" w:after="1"/>
              <w:ind w:left="0" w:right="0" w:hanging="0"/>
              <w:jc w:val="left"/>
              <w:rPr/>
            </w:pPr>
            <w:r>
              <w:rPr/>
              <w:t>​</w:t>
            </w:r>
          </w:p>
        </w:tc>
        <w:tc>
          <w:tcPr>
            <w:tcW w:w="673"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shd w:fill="CCEEFF" w:val="clear"/>
            <w:vAlign w:val="center"/>
          </w:tcPr>
          <w:p>
            <w:pPr>
              <w:pStyle w:val="TableContents"/>
              <w:bidi w:val="0"/>
              <w:spacing w:lineRule="auto" w:line="321" w:before="0" w:after="1"/>
              <w:ind w:left="0" w:right="0" w:hanging="0"/>
              <w:jc w:val="left"/>
              <w:rPr/>
            </w:pPr>
            <w:r>
              <w:rPr/>
              <w:t>​</w:t>
            </w:r>
          </w:p>
        </w:tc>
        <w:tc>
          <w:tcPr>
            <w:tcW w:w="724" w:type="dxa"/>
            <w:tcBorders/>
            <w:shd w:fill="CCEEFF" w:val="clear"/>
            <w:vAlign w:val="center"/>
          </w:tcPr>
          <w:p>
            <w:pPr>
              <w:pStyle w:val="TableContents"/>
              <w:bidi w:val="0"/>
              <w:spacing w:lineRule="auto" w:line="321" w:before="0" w:after="1"/>
              <w:ind w:left="0" w:right="0" w:hanging="0"/>
              <w:jc w:val="left"/>
              <w:rPr/>
            </w:pPr>
            <w:r>
              <w:rPr/>
              <w:t>​</w:t>
            </w:r>
          </w:p>
        </w:tc>
      </w:tr>
      <w:tr>
        <w:trPr/>
        <w:tc>
          <w:tcPr>
            <w:tcW w:w="4599"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8"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8"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vAlign w:val="center"/>
          </w:tcPr>
          <w:p>
            <w:pPr>
              <w:pStyle w:val="TableContents"/>
              <w:bidi w:val="0"/>
              <w:spacing w:lineRule="auto" w:line="321" w:before="0" w:after="1"/>
              <w:ind w:left="0" w:right="0" w:hanging="0"/>
              <w:jc w:val="left"/>
              <w:rPr/>
            </w:pPr>
            <w:r>
              <w:rPr/>
              <w:t>​</w:t>
            </w:r>
          </w:p>
        </w:tc>
        <w:tc>
          <w:tcPr>
            <w:tcW w:w="935"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vAlign w:val="center"/>
          </w:tcPr>
          <w:p>
            <w:pPr>
              <w:pStyle w:val="TableContents"/>
              <w:bidi w:val="0"/>
              <w:spacing w:lineRule="auto" w:line="321" w:before="0" w:after="1"/>
              <w:ind w:left="0" w:right="0" w:hanging="0"/>
              <w:jc w:val="left"/>
              <w:rPr/>
            </w:pPr>
            <w:r>
              <w:rPr/>
              <w:t>​</w:t>
            </w:r>
          </w:p>
        </w:tc>
        <w:tc>
          <w:tcPr>
            <w:tcW w:w="673"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vAlign w:val="center"/>
          </w:tcPr>
          <w:p>
            <w:pPr>
              <w:pStyle w:val="TableContents"/>
              <w:bidi w:val="0"/>
              <w:spacing w:lineRule="auto" w:line="321" w:before="0" w:after="1"/>
              <w:ind w:left="0" w:right="0" w:hanging="0"/>
              <w:jc w:val="left"/>
              <w:rPr/>
            </w:pPr>
            <w:r>
              <w:rPr/>
              <w:t>​</w:t>
            </w:r>
          </w:p>
        </w:tc>
        <w:tc>
          <w:tcPr>
            <w:tcW w:w="724" w:type="dxa"/>
            <w:tcBorders/>
            <w:vAlign w:val="center"/>
          </w:tcPr>
          <w:p>
            <w:pPr>
              <w:pStyle w:val="TableContents"/>
              <w:bidi w:val="0"/>
              <w:spacing w:lineRule="auto" w:line="321" w:before="0" w:after="1"/>
              <w:ind w:left="0" w:right="0" w:hanging="0"/>
              <w:jc w:val="left"/>
              <w:rPr/>
            </w:pPr>
            <w:r>
              <w:rPr/>
              <w:t>​</w:t>
            </w:r>
          </w:p>
        </w:tc>
      </w:tr>
      <w:tr>
        <w:trPr/>
        <w:tc>
          <w:tcPr>
            <w:tcW w:w="4599"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Net income (loss) per common share — Diluted, as reported</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(0.26)</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8"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935"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3"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(0.22)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24" w:type="dxa"/>
            <w:tcBorders/>
            <w:shd w:fill="CCEEFF" w:val="clear"/>
            <w:vAlign w:val="center"/>
          </w:tcPr>
          <w:p>
            <w:pPr>
              <w:pStyle w:val="TableContents"/>
              <w:bidi w:val="0"/>
              <w:spacing w:lineRule="auto" w:line="321" w:before="0" w:after="1"/>
              <w:ind w:left="0" w:right="0" w:hanging="0"/>
              <w:jc w:val="right"/>
              <w:rPr>
                <w:rFonts w:ascii="Helvetica;sans-serif" w:hAnsi="Helvetica;sans-serif"/>
                <w:sz w:val="16"/>
              </w:rPr>
            </w:pPr>
            <w:r>
              <w:rPr>
                <w:rFonts w:ascii="Helvetica;sans-serif" w:hAnsi="Helvetica;sans-serif"/>
                <w:sz w:val="16"/>
              </w:rPr>
              <w:t>(0.07)</w:t>
            </w:r>
          </w:p>
        </w:tc>
      </w:tr>
      <w:tr>
        <w:trPr/>
        <w:tc>
          <w:tcPr>
            <w:tcW w:w="4599"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Impact of selected items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68"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0.17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68"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0.09</w:t>
            </w:r>
          </w:p>
        </w:tc>
        <w:tc>
          <w:tcPr>
            <w:tcW w:w="346" w:type="dxa"/>
            <w:tcBorders/>
            <w:vAlign w:val="center"/>
          </w:tcPr>
          <w:p>
            <w:pPr>
              <w:pStyle w:val="TableContents"/>
              <w:bidi w:val="0"/>
              <w:spacing w:lineRule="auto" w:line="321"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(0.03)</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73"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0.13</w:t>
            </w:r>
          </w:p>
        </w:tc>
        <w:tc>
          <w:tcPr>
            <w:tcW w:w="109" w:type="dxa"/>
            <w:tcBorders/>
            <w:vAlign w:val="center"/>
          </w:tcPr>
          <w:p>
            <w:pPr>
              <w:pStyle w:val="TableContents"/>
              <w:bidi w:val="0"/>
              <w:spacing w:lineRule="auto" w:line="321"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24"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0.08</w:t>
            </w:r>
          </w:p>
        </w:tc>
      </w:tr>
      <w:tr>
        <w:trPr/>
        <w:tc>
          <w:tcPr>
            <w:tcW w:w="4599" w:type="dxa"/>
            <w:tcBorders/>
            <w:shd w:fill="CCEEFF" w:val="clear"/>
            <w:vAlign w:val="center"/>
          </w:tcPr>
          <w:p>
            <w:pPr>
              <w:pStyle w:val="TableContents"/>
              <w:bidi w:val="0"/>
              <w:spacing w:before="0" w:after="1"/>
              <w:ind w:left="0" w:right="0" w:hanging="0"/>
              <w:jc w:val="left"/>
              <w:rPr>
                <w:rFonts w:ascii="Segoe UI" w:hAnsi="Segoe UI"/>
                <w:sz w:val="16"/>
              </w:rPr>
            </w:pPr>
            <w:r>
              <w:rPr>
                <w:rFonts w:ascii="Segoe UI" w:hAnsi="Segoe UI"/>
                <w:sz w:val="16"/>
              </w:rPr>
              <w:t>Net income (loss) per common share — Diluted, excluding selected items</w:t>
            </w:r>
            <w:r>
              <w:rPr>
                <w:rFonts w:ascii="Segoe UI" w:hAnsi="Segoe UI"/>
                <w:sz w:val="12"/>
              </w:rPr>
              <w:t>(2)(3)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8"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8"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935"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3"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(0.09)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24" w:type="dxa"/>
            <w:tcBorders>
              <w:bottom w:val="double" w:sz="6" w:space="0" w:color="000000"/>
            </w:tcBorders>
            <w:shd w:fill="CCEEFF" w:val="clear"/>
            <w:tcMar>
              <w:bottom w:w="28" w:type="dxa"/>
            </w:tcMar>
            <w:vAlign w:val="center"/>
          </w:tcPr>
          <w:p>
            <w:pPr>
              <w:pStyle w:val="TableContents"/>
              <w:bidi w:val="0"/>
              <w:spacing w:lineRule="auto" w:line="321" w:before="0" w:after="1"/>
              <w:ind w:left="0" w:right="45" w:hanging="0"/>
              <w:jc w:val="right"/>
              <w:rPr>
                <w:rFonts w:ascii="Segoe UI" w:hAnsi="Segoe UI"/>
                <w:sz w:val="16"/>
              </w:rPr>
            </w:pPr>
            <w:r>
              <w:rPr>
                <w:rFonts w:ascii="Segoe UI" w:hAnsi="Segoe UI"/>
                <w:sz w:val="16"/>
              </w:rPr>
              <w:t>0.01</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rFonts w:ascii="Segoe UI" w:hAnsi="Segoe UI"/>
                <w:sz w:val="16"/>
              </w:rPr>
            </w:pPr>
            <w:r>
              <w:rPr>
                <w:rFonts w:ascii="Segoe UI" w:hAnsi="Segoe UI"/>
                <w:sz w:val="16"/>
              </w:rPr>
              <w:t>(1)</w:t>
            </w:r>
          </w:p>
        </w:tc>
        <w:tc>
          <w:tcPr>
            <w:tcW w:w="10004" w:type="dxa"/>
            <w:tcBorders/>
            <w:vAlign w:val="center"/>
          </w:tcPr>
          <w:p>
            <w:pPr>
              <w:pStyle w:val="TableContents"/>
              <w:bidi w:val="0"/>
              <w:spacing w:before="0" w:after="283"/>
              <w:jc w:val="left"/>
              <w:rPr>
                <w:rFonts w:ascii="Segoe UI" w:hAnsi="Segoe UI"/>
                <w:b w:val="false"/>
                <w:i w:val="false"/>
                <w:caps w:val="false"/>
                <w:smallCaps w:val="false"/>
                <w:sz w:val="16"/>
              </w:rPr>
            </w:pPr>
            <w:r>
              <w:rPr>
                <w:rFonts w:ascii="Segoe UI" w:hAnsi="Segoe UI"/>
                <w:b w:val="false"/>
                <w:i w:val="false"/>
                <w:caps w:val="false"/>
                <w:smallCaps w:val="false"/>
                <w:sz w:val="16"/>
              </w:rPr>
              <w:t>The tax impact for the three months ended March 31, 2026 and 2025, is represented using estimated tax rates of 21.4% and 24.0%, respectively. The tax impact for the three months ended December 31, 2025, is represented using estimated tax rates of 44.0%. The tax impact for the nine months ended March 31, 2026 and 2025, is represented using estimated tax rates of 14.9% and 22.9%, respectively.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rFonts w:ascii="Segoe UI" w:hAnsi="Segoe UI"/>
                <w:sz w:val="16"/>
              </w:rPr>
            </w:pPr>
            <w:r>
              <w:rPr>
                <w:rFonts w:ascii="Segoe UI" w:hAnsi="Segoe UI"/>
                <w:sz w:val="16"/>
              </w:rPr>
              <w:t>(2)</w:t>
            </w:r>
          </w:p>
        </w:tc>
        <w:tc>
          <w:tcPr>
            <w:tcW w:w="10012" w:type="dxa"/>
            <w:tcBorders/>
            <w:vAlign w:val="center"/>
          </w:tcPr>
          <w:p>
            <w:pPr>
              <w:pStyle w:val="TableContents"/>
              <w:bidi w:val="0"/>
              <w:spacing w:before="0" w:after="283"/>
              <w:jc w:val="left"/>
              <w:rPr/>
            </w:pPr>
            <w:r>
              <w:rPr>
                <w:rFonts w:ascii="Segoe UI" w:hAnsi="Segoe UI"/>
                <w:b w:val="false"/>
                <w:i w:val="false"/>
                <w:caps w:val="false"/>
                <w:smallCaps w:val="false"/>
                <w:sz w:val="16"/>
              </w:rPr>
              <w:t>Net income (loss) and earnings per share excluding selected items are non-GAAP financial measures presented as supplemental financial measures to enable a user of the financial information to understand the impact of these items on reported results. These financial measures should not be considered an alternative to net income (loss), operating income (loss), cash flows provided by (used in) operating activities, or any other measure of financial performance or liquidity presented in accordance with U.S. GAAP. Our Adjusted Net Income (Loss) and earnings per share may not be comparable to similarly titled measures of another company because all companies may not calculate Adjusted Net Income (Loss) and earnings per share in the same manner.</w:t>
            </w:r>
            <w:r>
              <w:rPr>
                <w:caps w:val="false"/>
                <w:smallCaps w:val="false"/>
              </w:rPr>
              <w:t xml:space="preserve">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rFonts w:ascii="Segoe UI" w:hAnsi="Segoe UI"/>
                <w:sz w:val="16"/>
              </w:rPr>
            </w:pPr>
            <w:r>
              <w:rPr>
                <w:rFonts w:ascii="Segoe UI" w:hAnsi="Segoe UI"/>
                <w:sz w:val="16"/>
              </w:rPr>
              <w:t>(3)</w:t>
            </w:r>
          </w:p>
        </w:tc>
        <w:tc>
          <w:tcPr>
            <w:tcW w:w="10011" w:type="dxa"/>
            <w:tcBorders/>
            <w:vAlign w:val="center"/>
          </w:tcPr>
          <w:p>
            <w:pPr>
              <w:pStyle w:val="TableContents"/>
              <w:bidi w:val="0"/>
              <w:spacing w:before="0" w:after="283"/>
              <w:jc w:val="left"/>
              <w:rPr/>
            </w:pPr>
            <w:r>
              <w:rPr>
                <w:rFonts w:ascii="Segoe UI" w:hAnsi="Segoe UI"/>
                <w:b w:val="false"/>
                <w:i w:val="false"/>
                <w:caps w:val="false"/>
                <w:smallCaps w:val="false"/>
                <w:sz w:val="16"/>
              </w:rPr>
              <w:t>The impact of selected items for the three months ended March 31, 2026 and 2025, were each calculated based upon weighted average diluted shares of 34.3 million and 33.6 million, respectively, due to the net income (loss), excluding selected items. The impact of selected items for the three months ended December 31, 2025, was calculated based upon weighted average diluted shares of 34.0 million due to the net income (loss), excluding selected items.</w:t>
            </w:r>
            <w:r>
              <w:rPr>
                <w:caps w:val="false"/>
                <w:smallCaps w:val="false"/>
              </w:rPr>
              <w:t xml:space="preserve"> </w:t>
            </w:r>
            <w:r>
              <w:rPr>
                <w:rFonts w:ascii="Segoe UI" w:hAnsi="Segoe UI"/>
                <w:b w:val="false"/>
                <w:i w:val="false"/>
                <w:caps w:val="false"/>
                <w:smallCaps w:val="false"/>
                <w:sz w:val="16"/>
              </w:rPr>
              <w:t>The impact of selected items for the nine months ended March 31, 2026 and 2025, were each calculated based upon weighted average diluted shares of 34.0 million and 33.2 million, respectively, due to the net income (loss), excluding selected items.</w:t>
            </w:r>
          </w:p>
        </w:tc>
      </w:tr>
    </w:tbl>
    <w:p>
      <w:pPr>
        <w:pStyle w:val="TextBody"/>
        <w:bidi w:val="0"/>
        <w:spacing w:lineRule="auto" w:line="285" w:before="0" w:after="0"/>
        <w:ind w:left="0" w:right="0" w:hanging="0"/>
        <w:jc w:val="center"/>
        <w:rPr>
          <w:rFonts w:ascii="Segoe UI" w:hAnsi="Segoe UI"/>
          <w:sz w:val="22"/>
        </w:rPr>
      </w:pPr>
      <w:r>
        <w:rPr>
          <w:rFonts w:ascii="Segoe UI" w:hAnsi="Segoe UI"/>
          <w:sz w:val="22"/>
        </w:rPr>
        <w:t>11</w:t>
      </w:r>
    </w:p>
    <w:p>
      <w:pPr>
        <w:pStyle w:val="HorizontalLine"/>
        <w:pBdr>
          <w:bottom w:val="double" w:sz="2" w:space="0" w:color="808080"/>
        </w:pBdr>
        <w:bidi w:val="0"/>
        <w:spacing w:before="0" w:after="283"/>
        <w:jc w:val="left"/>
        <w:rPr/>
      </w:pPr>
      <w:r>
        <w:rPr/>
      </w:r>
    </w:p>
    <w:p>
      <w:pPr>
        <w:pStyle w:val="TextBody"/>
        <w:bidi w:val="0"/>
        <w:spacing w:lineRule="auto" w:line="285" w:before="0" w:after="100"/>
        <w:ind w:left="0" w:right="0" w:hanging="0"/>
        <w:jc w:val="left"/>
        <w:rPr/>
      </w:pPr>
      <w:r>
        <w:rPr/>
        <w:t>​</w:t>
      </w:r>
    </w:p>
    <w:p>
      <w:pPr>
        <w:pStyle w:val="TextBody"/>
        <w:bidi w:val="0"/>
        <w:spacing w:lineRule="auto" w:line="321" w:before="100" w:after="0"/>
        <w:ind w:left="0" w:right="0" w:hanging="0"/>
        <w:jc w:val="center"/>
        <w:rPr>
          <w:rFonts w:ascii="Segoe UI Semibold" w:hAnsi="Segoe UI Semibold"/>
          <w:sz w:val="22"/>
        </w:rPr>
      </w:pPr>
      <w:r>
        <w:rPr>
          <w:rFonts w:ascii="Segoe UI Semibold" w:hAnsi="Segoe UI Semibold"/>
          <w:sz w:val="22"/>
        </w:rPr>
        <w:t>Evolution Petroleum Corporation</w:t>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Supplemental Information on Oil and Natural Gas Operations (Unaudited)</w:t>
      </w:r>
    </w:p>
    <w:p>
      <w:pPr>
        <w:pStyle w:val="TextBody"/>
        <w:bidi w:val="0"/>
        <w:spacing w:lineRule="auto" w:line="321" w:before="0" w:after="240"/>
        <w:ind w:left="0" w:right="0" w:hanging="0"/>
        <w:jc w:val="center"/>
        <w:rPr>
          <w:rFonts w:ascii="Segoe UI Semibold" w:hAnsi="Segoe UI Semibold"/>
          <w:sz w:val="22"/>
        </w:rPr>
      </w:pPr>
      <w:r>
        <w:rPr>
          <w:rFonts w:ascii="Segoe UI Semibold" w:hAnsi="Segoe UI Semibold"/>
          <w:sz w:val="22"/>
        </w:rPr>
        <w:t>(In thousands, except per unit and per BOE amounts)</w:t>
      </w:r>
    </w:p>
    <w:tbl>
      <w:tblPr>
        <w:tblW w:w="10205" w:type="dxa"/>
        <w:jc w:val="left"/>
        <w:tblInd w:w="0" w:type="dxa"/>
        <w:tblLayout w:type="fixed"/>
        <w:tblCellMar>
          <w:top w:w="0" w:type="dxa"/>
          <w:left w:w="0" w:type="dxa"/>
          <w:bottom w:w="0" w:type="dxa"/>
          <w:right w:w="0" w:type="dxa"/>
        </w:tblCellMar>
      </w:tblPr>
      <w:tblGrid>
        <w:gridCol w:w="4455"/>
        <w:gridCol w:w="109"/>
        <w:gridCol w:w="211"/>
        <w:gridCol w:w="676"/>
        <w:gridCol w:w="109"/>
        <w:gridCol w:w="211"/>
        <w:gridCol w:w="676"/>
        <w:gridCol w:w="346"/>
        <w:gridCol w:w="315"/>
        <w:gridCol w:w="1016"/>
        <w:gridCol w:w="109"/>
        <w:gridCol w:w="215"/>
        <w:gridCol w:w="691"/>
        <w:gridCol w:w="110"/>
        <w:gridCol w:w="215"/>
        <w:gridCol w:w="741"/>
      </w:tblGrid>
      <w:tr>
        <w:trPr/>
        <w:tc>
          <w:tcPr>
            <w:tcW w:w="4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828925" cy="175260"/>
                      <wp:effectExtent l="0" t="0" r="0" b="0"/>
                      <wp:wrapNone/>
                      <wp:docPr id="86" name="Frame85"/>
                      <a:graphic xmlns:a="http://schemas.openxmlformats.org/drawingml/2006/main">
                        <a:graphicData uri="http://schemas.microsoft.com/office/word/2010/wordprocessingShape">
                          <wps:wsp>
                            <wps:cNvSpPr txBox="1"/>
                            <wps:spPr>
                              <a:xfrm>
                                <a:off x="0" y="0"/>
                                <a:ext cx="282892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7"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29260" cy="175260"/>
                      <wp:effectExtent l="0" t="0" r="0" b="0"/>
                      <wp:wrapNone/>
                      <wp:docPr id="89" name="Frame8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29260" cy="175260"/>
                      <wp:effectExtent l="0" t="0" r="0" b="0"/>
                      <wp:wrapNone/>
                      <wp:docPr id="92" name="Frame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0025" cy="175260"/>
                      <wp:effectExtent l="0" t="0" r="0" b="0"/>
                      <wp:wrapNone/>
                      <wp:docPr id="94" name="Frame93"/>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5160" cy="175260"/>
                      <wp:effectExtent l="0" t="0" r="0" b="0"/>
                      <wp:wrapNone/>
                      <wp:docPr id="95" name="Frame94"/>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6" name="Frame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6525" cy="175260"/>
                      <wp:effectExtent l="0" t="0" r="0" b="0"/>
                      <wp:wrapNone/>
                      <wp:docPr id="97" name="Frame96"/>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38785" cy="175260"/>
                      <wp:effectExtent l="0" t="0" r="0" b="0"/>
                      <wp:wrapNone/>
                      <wp:docPr id="98" name="Frame9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850" cy="175260"/>
                      <wp:effectExtent l="0" t="0" r="0" b="0"/>
                      <wp:wrapNone/>
                      <wp:docPr id="99" name="Frame98"/>
                      <a:graphic xmlns:a="http://schemas.openxmlformats.org/drawingml/2006/main">
                        <a:graphicData uri="http://schemas.microsoft.com/office/word/2010/wordprocessingShape">
                          <wps:wsp>
                            <wps:cNvSpPr txBox="1"/>
                            <wps:spPr>
                              <a:xfrm>
                                <a:off x="0" y="0"/>
                                <a:ext cx="6985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6525" cy="175260"/>
                      <wp:effectExtent l="0" t="0" r="0" b="0"/>
                      <wp:wrapNone/>
                      <wp:docPr id="100" name="Frame99"/>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70535" cy="175260"/>
                      <wp:effectExtent l="0" t="0" r="0" b="0"/>
                      <wp:wrapNone/>
                      <wp:docPr id="101" name="Frame100"/>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r>
      <w:tr>
        <w:trPr/>
        <w:tc>
          <w:tcPr>
            <w:tcW w:w="4455" w:type="dxa"/>
            <w:tcBorders/>
            <w:vAlign w:val="center"/>
          </w:tcPr>
          <w:p>
            <w:pPr>
              <w:pStyle w:val="TableContents"/>
              <w:bidi w:val="0"/>
              <w:spacing w:lineRule="auto" w:line="321" w:before="0" w:after="1"/>
              <w:ind w:left="0" w:right="0" w:hanging="0"/>
              <w:jc w:val="left"/>
              <w:rPr/>
            </w:pPr>
            <w:r>
              <w:rPr/>
              <w:t> </w:t>
            </w:r>
          </w:p>
        </w:tc>
        <w:tc>
          <w:tcPr>
            <w:tcW w:w="109" w:type="dxa"/>
            <w:tcBorders/>
            <w:vAlign w:val="center"/>
          </w:tcPr>
          <w:p>
            <w:pPr>
              <w:pStyle w:val="TableContents"/>
              <w:bidi w:val="0"/>
              <w:spacing w:lineRule="auto" w:line="321" w:before="0" w:after="1"/>
              <w:ind w:left="0" w:right="0" w:hanging="0"/>
              <w:jc w:val="left"/>
              <w:rPr/>
            </w:pPr>
            <w:r>
              <w:rPr/>
              <w:t>​</w:t>
            </w:r>
          </w:p>
        </w:tc>
        <w:tc>
          <w:tcPr>
            <w:tcW w:w="3560" w:type="dxa"/>
            <w:gridSpan w:val="8"/>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 xml:space="preserve">Three Months Ended </w:t>
            </w:r>
          </w:p>
        </w:tc>
        <w:tc>
          <w:tcPr>
            <w:tcW w:w="109" w:type="dxa"/>
            <w:tcBorders/>
            <w:vAlign w:val="center"/>
          </w:tcPr>
          <w:p>
            <w:pPr>
              <w:pStyle w:val="TableContents"/>
              <w:bidi w:val="0"/>
              <w:spacing w:lineRule="auto" w:line="321" w:before="0" w:after="1"/>
              <w:ind w:left="0" w:right="0" w:hanging="0"/>
              <w:jc w:val="left"/>
              <w:rPr/>
            </w:pPr>
            <w:r>
              <w:rPr/>
              <w:t>​</w:t>
            </w:r>
          </w:p>
        </w:tc>
        <w:tc>
          <w:tcPr>
            <w:tcW w:w="1972"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Nine Months Ended</w:t>
            </w:r>
          </w:p>
        </w:tc>
      </w:tr>
      <w:tr>
        <w:trPr/>
        <w:tc>
          <w:tcPr>
            <w:tcW w:w="4455"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1883"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March 31, </w:t>
            </w:r>
          </w:p>
        </w:tc>
        <w:tc>
          <w:tcPr>
            <w:tcW w:w="346" w:type="dxa"/>
            <w:tcBorders/>
            <w:vAlign w:val="center"/>
          </w:tcPr>
          <w:p>
            <w:pPr>
              <w:pStyle w:val="TableContents"/>
              <w:bidi w:val="0"/>
              <w:spacing w:lineRule="auto" w:line="321" w:before="0" w:after="1"/>
              <w:ind w:left="0" w:right="0" w:hanging="0"/>
              <w:jc w:val="left"/>
              <w:rPr/>
            </w:pPr>
            <w:r>
              <w:rPr/>
              <w:t>​</w:t>
            </w:r>
          </w:p>
        </w:tc>
        <w:tc>
          <w:tcPr>
            <w:tcW w:w="1331"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December 31,</w:t>
            </w:r>
          </w:p>
        </w:tc>
        <w:tc>
          <w:tcPr>
            <w:tcW w:w="109" w:type="dxa"/>
            <w:tcBorders/>
            <w:vAlign w:val="center"/>
          </w:tcPr>
          <w:p>
            <w:pPr>
              <w:pStyle w:val="TableContents"/>
              <w:bidi w:val="0"/>
              <w:spacing w:lineRule="auto" w:line="321" w:before="0" w:after="1"/>
              <w:ind w:left="0" w:right="0" w:hanging="0"/>
              <w:jc w:val="left"/>
              <w:rPr/>
            </w:pPr>
            <w:r>
              <w:rPr/>
              <w:t>​</w:t>
            </w:r>
          </w:p>
        </w:tc>
        <w:tc>
          <w:tcPr>
            <w:tcW w:w="1972"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March 31, </w:t>
            </w:r>
          </w:p>
        </w:tc>
      </w:tr>
      <w:tr>
        <w:trPr/>
        <w:tc>
          <w:tcPr>
            <w:tcW w:w="4455" w:type="dxa"/>
            <w:tcBorders/>
            <w:vAlign w:val="center"/>
          </w:tcPr>
          <w:p>
            <w:pPr>
              <w:pStyle w:val="TableContents"/>
              <w:bidi w:val="0"/>
              <w:spacing w:lineRule="auto" w:line="321" w:before="0" w:after="1"/>
              <w:ind w:left="0" w:right="0" w:hanging="0"/>
              <w:jc w:val="left"/>
              <w:rPr/>
            </w:pPr>
            <w:r>
              <w:rPr/>
              <w:t> </w:t>
            </w:r>
          </w:p>
        </w:tc>
        <w:tc>
          <w:tcPr>
            <w:tcW w:w="109" w:type="dxa"/>
            <w:tcBorders/>
            <w:vAlign w:val="center"/>
          </w:tcPr>
          <w:p>
            <w:pPr>
              <w:pStyle w:val="TableContents"/>
              <w:bidi w:val="0"/>
              <w:spacing w:lineRule="auto" w:line="321"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09" w:type="dxa"/>
            <w:tcBorders/>
            <w:vAlign w:val="center"/>
          </w:tcPr>
          <w:p>
            <w:pPr>
              <w:pStyle w:val="TableContents"/>
              <w:bidi w:val="0"/>
              <w:spacing w:lineRule="auto" w:line="321"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c>
          <w:tcPr>
            <w:tcW w:w="346" w:type="dxa"/>
            <w:tcBorders/>
            <w:vAlign w:val="center"/>
          </w:tcPr>
          <w:p>
            <w:pPr>
              <w:pStyle w:val="TableContents"/>
              <w:bidi w:val="0"/>
              <w:spacing w:lineRule="auto" w:line="321" w:before="0" w:after="1"/>
              <w:ind w:left="0" w:right="0" w:hanging="0"/>
              <w:jc w:val="left"/>
              <w:rPr/>
            </w:pPr>
            <w:r>
              <w:rPr/>
              <w:t>  ​ ​ ​</w:t>
            </w:r>
          </w:p>
        </w:tc>
        <w:tc>
          <w:tcPr>
            <w:tcW w:w="1331"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c>
          <w:tcPr>
            <w:tcW w:w="109" w:type="dxa"/>
            <w:tcBorders/>
            <w:vAlign w:val="center"/>
          </w:tcPr>
          <w:p>
            <w:pPr>
              <w:pStyle w:val="TableContents"/>
              <w:bidi w:val="0"/>
              <w:spacing w:lineRule="auto" w:line="321" w:before="0" w:after="1"/>
              <w:ind w:left="0" w:right="0" w:hanging="0"/>
              <w:jc w:val="left"/>
              <w:rPr/>
            </w:pPr>
            <w:r>
              <w:rPr/>
              <w:t>​</w:t>
            </w:r>
          </w:p>
        </w:tc>
        <w:tc>
          <w:tcPr>
            <w:tcW w:w="906"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110" w:type="dxa"/>
            <w:tcBorders/>
            <w:vAlign w:val="center"/>
          </w:tcPr>
          <w:p>
            <w:pPr>
              <w:pStyle w:val="TableContents"/>
              <w:bidi w:val="0"/>
              <w:spacing w:lineRule="auto" w:line="321" w:before="0" w:after="1"/>
              <w:ind w:left="0" w:right="0" w:hanging="0"/>
              <w:jc w:val="left"/>
              <w:rPr/>
            </w:pPr>
            <w:r>
              <w:rPr/>
              <w:t>​</w:t>
            </w:r>
          </w:p>
        </w:tc>
        <w:tc>
          <w:tcPr>
            <w:tcW w:w="956"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r>
      <w:tr>
        <w:trPr/>
        <w:tc>
          <w:tcPr>
            <w:tcW w:w="4455" w:type="dxa"/>
            <w:tcBorders/>
            <w:shd w:fill="CCEEFF" w:val="clear"/>
            <w:vAlign w:val="center"/>
          </w:tcPr>
          <w:p>
            <w:pPr>
              <w:pStyle w:val="TableContents"/>
              <w:bidi w:val="0"/>
              <w:spacing w:lineRule="auto" w:line="321" w:before="0" w:after="1"/>
              <w:ind w:left="0" w:right="0" w:hanging="0"/>
              <w:jc w:val="left"/>
              <w:rPr>
                <w:rFonts w:ascii="Segoe UI" w:hAnsi="Segoe UI"/>
                <w:b/>
                <w:sz w:val="16"/>
              </w:rPr>
            </w:pPr>
            <w:r>
              <w:rPr>
                <w:rFonts w:ascii="Segoe UI" w:hAnsi="Segoe UI"/>
                <w:b/>
                <w:sz w:val="16"/>
              </w:rPr>
              <w:t>Revenues: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color w:val="FF0000"/>
              </w:rPr>
            </w:pPr>
            <w:r>
              <w:rPr>
                <w:color w:val="FF0000"/>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5" w:type="dxa"/>
            <w:tcBorders/>
            <w:shd w:fill="CCEEFF" w:val="clear"/>
            <w:vAlign w:val="center"/>
          </w:tcPr>
          <w:p>
            <w:pPr>
              <w:pStyle w:val="TableContents"/>
              <w:bidi w:val="0"/>
              <w:spacing w:lineRule="auto" w:line="321" w:before="0" w:after="1"/>
              <w:ind w:left="0" w:right="0" w:hanging="0"/>
              <w:jc w:val="left"/>
              <w:rPr/>
            </w:pPr>
            <w:r>
              <w:rPr/>
              <w:t>​</w:t>
            </w:r>
          </w:p>
        </w:tc>
        <w:tc>
          <w:tcPr>
            <w:tcW w:w="1016" w:type="dxa"/>
            <w:tcBorders/>
            <w:shd w:fill="CCEEFF" w:val="clear"/>
            <w:vAlign w:val="center"/>
          </w:tcPr>
          <w:p>
            <w:pPr>
              <w:pStyle w:val="TableContents"/>
              <w:bidi w:val="0"/>
              <w:spacing w:lineRule="auto" w:line="321" w:before="0" w:after="1"/>
              <w:ind w:left="0" w:right="0" w:hanging="0"/>
              <w:jc w:val="left"/>
              <w:rPr>
                <w:color w:val="FF0000"/>
              </w:rPr>
            </w:pPr>
            <w:r>
              <w:rPr>
                <w:color w:val="FF0000"/>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left"/>
              <w:rPr/>
            </w:pPr>
            <w:r>
              <w:rPr/>
              <w:t>​</w:t>
            </w:r>
          </w:p>
        </w:tc>
        <w:tc>
          <w:tcPr>
            <w:tcW w:w="110"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741" w:type="dxa"/>
            <w:tcBorders/>
            <w:shd w:fill="CCEEFF" w:val="clear"/>
            <w:vAlign w:val="center"/>
          </w:tcPr>
          <w:p>
            <w:pPr>
              <w:pStyle w:val="TableContents"/>
              <w:bidi w:val="0"/>
              <w:spacing w:lineRule="auto" w:line="321" w:before="0" w:after="1"/>
              <w:ind w:left="0" w:right="0" w:hanging="0"/>
              <w:jc w:val="left"/>
              <w:rPr/>
            </w:pPr>
            <w:r>
              <w:rPr/>
              <w:t>​</w:t>
            </w:r>
          </w:p>
        </w:tc>
      </w:tr>
      <w:tr>
        <w:trPr/>
        <w:tc>
          <w:tcPr>
            <w:tcW w:w="445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Crude oil</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10,474</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11,769</w:t>
            </w:r>
          </w:p>
        </w:tc>
        <w:tc>
          <w:tcPr>
            <w:tcW w:w="346" w:type="dxa"/>
            <w:tcBorders/>
            <w:vAlign w:val="center"/>
          </w:tcPr>
          <w:p>
            <w:pPr>
              <w:pStyle w:val="TableContents"/>
              <w:bidi w:val="0"/>
              <w:spacing w:lineRule="auto" w:line="321" w:before="0" w:after="1"/>
              <w:ind w:left="0" w:right="0" w:hanging="0"/>
              <w:jc w:val="left"/>
              <w:rPr/>
            </w:pPr>
            <w:r>
              <w:rPr/>
              <w:t>​</w:t>
            </w:r>
          </w:p>
        </w:tc>
        <w:tc>
          <w:tcPr>
            <w:tcW w:w="31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1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10,696</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34,042</w:t>
            </w:r>
          </w:p>
        </w:tc>
        <w:tc>
          <w:tcPr>
            <w:tcW w:w="110"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4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38,269</w:t>
            </w:r>
          </w:p>
        </w:tc>
      </w:tr>
      <w:tr>
        <w:trPr/>
        <w:tc>
          <w:tcPr>
            <w:tcW w:w="445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Natural gas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7,284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7,790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5" w:type="dxa"/>
            <w:tcBorders/>
            <w:shd w:fill="CCEEFF" w:val="clear"/>
            <w:vAlign w:val="center"/>
          </w:tcPr>
          <w:p>
            <w:pPr>
              <w:pStyle w:val="TableContents"/>
              <w:bidi w:val="0"/>
              <w:spacing w:lineRule="auto" w:line="321" w:before="0" w:after="1"/>
              <w:ind w:left="0" w:right="0" w:hanging="0"/>
              <w:jc w:val="left"/>
              <w:rPr/>
            </w:pPr>
            <w:r>
              <w:rPr/>
              <w:t>​</w:t>
            </w:r>
          </w:p>
        </w:tc>
        <w:tc>
          <w:tcPr>
            <w:tcW w:w="101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7,441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20,625</w:t>
            </w:r>
          </w:p>
        </w:tc>
        <w:tc>
          <w:tcPr>
            <w:tcW w:w="110"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74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17,868</w:t>
            </w:r>
          </w:p>
        </w:tc>
      </w:tr>
      <w:tr>
        <w:trPr/>
        <w:tc>
          <w:tcPr>
            <w:tcW w:w="445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Natural gas liquids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2,410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3,002</w:t>
            </w:r>
          </w:p>
        </w:tc>
        <w:tc>
          <w:tcPr>
            <w:tcW w:w="346" w:type="dxa"/>
            <w:tcBorders/>
            <w:vAlign w:val="center"/>
          </w:tcPr>
          <w:p>
            <w:pPr>
              <w:pStyle w:val="TableContents"/>
              <w:bidi w:val="0"/>
              <w:spacing w:lineRule="auto" w:line="321" w:before="0" w:after="1"/>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1016"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2,542</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7,468</w:t>
            </w:r>
          </w:p>
        </w:tc>
        <w:tc>
          <w:tcPr>
            <w:tcW w:w="110" w:type="dxa"/>
            <w:tcBorders/>
            <w:vAlign w:val="center"/>
          </w:tcPr>
          <w:p>
            <w:pPr>
              <w:pStyle w:val="TableContents"/>
              <w:bidi w:val="0"/>
              <w:spacing w:lineRule="auto" w:line="321"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8,595</w:t>
            </w:r>
          </w:p>
        </w:tc>
      </w:tr>
      <w:tr>
        <w:trPr/>
        <w:tc>
          <w:tcPr>
            <w:tcW w:w="445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revenues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20,168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22,561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1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20,679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62,135</w:t>
            </w:r>
          </w:p>
        </w:tc>
        <w:tc>
          <w:tcPr>
            <w:tcW w:w="110"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4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64,732</w:t>
            </w:r>
          </w:p>
        </w:tc>
      </w:tr>
      <w:tr>
        <w:trPr/>
        <w:tc>
          <w:tcPr>
            <w:tcW w:w="4455"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15" w:type="dxa"/>
            <w:tcBorders/>
            <w:vAlign w:val="center"/>
          </w:tcPr>
          <w:p>
            <w:pPr>
              <w:pStyle w:val="TableContents"/>
              <w:bidi w:val="0"/>
              <w:spacing w:lineRule="auto" w:line="321" w:before="0" w:after="1"/>
              <w:ind w:left="0" w:right="0" w:hanging="0"/>
              <w:jc w:val="left"/>
              <w:rPr/>
            </w:pPr>
            <w:r>
              <w:rPr/>
              <w:t>​</w:t>
            </w:r>
          </w:p>
        </w:tc>
        <w:tc>
          <w:tcPr>
            <w:tcW w:w="101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left"/>
              <w:rPr/>
            </w:pPr>
            <w:r>
              <w:rPr/>
              <w:t>​</w:t>
            </w:r>
          </w:p>
        </w:tc>
        <w:tc>
          <w:tcPr>
            <w:tcW w:w="110"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741" w:type="dxa"/>
            <w:tcBorders/>
            <w:vAlign w:val="center"/>
          </w:tcPr>
          <w:p>
            <w:pPr>
              <w:pStyle w:val="TableContents"/>
              <w:bidi w:val="0"/>
              <w:spacing w:lineRule="auto" w:line="321" w:before="0" w:after="1"/>
              <w:ind w:left="0" w:right="0" w:hanging="0"/>
              <w:jc w:val="left"/>
              <w:rPr/>
            </w:pPr>
            <w:r>
              <w:rPr/>
              <w:t>​</w:t>
            </w:r>
          </w:p>
        </w:tc>
      </w:tr>
      <w:tr>
        <w:trPr/>
        <w:tc>
          <w:tcPr>
            <w:tcW w:w="4455" w:type="dxa"/>
            <w:tcBorders/>
            <w:shd w:fill="CCEEFF" w:val="clear"/>
            <w:vAlign w:val="center"/>
          </w:tcPr>
          <w:p>
            <w:pPr>
              <w:pStyle w:val="TableContents"/>
              <w:bidi w:val="0"/>
              <w:spacing w:lineRule="auto" w:line="321" w:before="0" w:after="1"/>
              <w:ind w:left="0" w:right="0" w:hanging="0"/>
              <w:jc w:val="left"/>
              <w:rPr>
                <w:rFonts w:ascii="Segoe UI" w:hAnsi="Segoe UI"/>
                <w:b/>
                <w:sz w:val="16"/>
              </w:rPr>
            </w:pPr>
            <w:r>
              <w:rPr>
                <w:rFonts w:ascii="Segoe UI" w:hAnsi="Segoe UI"/>
                <w:b/>
                <w:sz w:val="16"/>
              </w:rPr>
              <w:t xml:space="preserve">Lease operating costs: </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5" w:type="dxa"/>
            <w:tcBorders/>
            <w:shd w:fill="CCEEFF" w:val="clear"/>
            <w:vAlign w:val="center"/>
          </w:tcPr>
          <w:p>
            <w:pPr>
              <w:pStyle w:val="TableContents"/>
              <w:bidi w:val="0"/>
              <w:spacing w:lineRule="auto" w:line="321" w:before="0" w:after="1"/>
              <w:ind w:left="0" w:right="0" w:hanging="0"/>
              <w:jc w:val="left"/>
              <w:rPr/>
            </w:pPr>
            <w:r>
              <w:rPr/>
              <w:t>​</w:t>
            </w:r>
          </w:p>
        </w:tc>
        <w:tc>
          <w:tcPr>
            <w:tcW w:w="101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left"/>
              <w:rPr/>
            </w:pPr>
            <w:r>
              <w:rPr/>
              <w:t>​</w:t>
            </w:r>
          </w:p>
        </w:tc>
        <w:tc>
          <w:tcPr>
            <w:tcW w:w="110"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741" w:type="dxa"/>
            <w:tcBorders/>
            <w:shd w:fill="CCEEFF" w:val="clear"/>
            <w:vAlign w:val="center"/>
          </w:tcPr>
          <w:p>
            <w:pPr>
              <w:pStyle w:val="TableContents"/>
              <w:bidi w:val="0"/>
              <w:spacing w:lineRule="auto" w:line="321" w:before="0" w:after="1"/>
              <w:ind w:left="0" w:right="0" w:hanging="0"/>
              <w:jc w:val="left"/>
              <w:rPr/>
            </w:pPr>
            <w:r>
              <w:rPr/>
              <w:t>​</w:t>
            </w:r>
          </w:p>
        </w:tc>
      </w:tr>
      <w:tr>
        <w:trPr/>
        <w:tc>
          <w:tcPr>
            <w:tcW w:w="445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Ad valorem and production taxes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1,317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1,473</w:t>
            </w:r>
          </w:p>
        </w:tc>
        <w:tc>
          <w:tcPr>
            <w:tcW w:w="346" w:type="dxa"/>
            <w:tcBorders/>
            <w:vAlign w:val="center"/>
          </w:tcPr>
          <w:p>
            <w:pPr>
              <w:pStyle w:val="TableContents"/>
              <w:bidi w:val="0"/>
              <w:spacing w:lineRule="auto" w:line="321" w:before="0" w:after="1"/>
              <w:ind w:left="0" w:right="0" w:hanging="0"/>
              <w:jc w:val="left"/>
              <w:rPr/>
            </w:pPr>
            <w:r>
              <w:rPr/>
              <w:t>​</w:t>
            </w:r>
          </w:p>
        </w:tc>
        <w:tc>
          <w:tcPr>
            <w:tcW w:w="31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1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588</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3,325</w:t>
            </w:r>
          </w:p>
        </w:tc>
        <w:tc>
          <w:tcPr>
            <w:tcW w:w="110"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4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4,328</w:t>
            </w:r>
          </w:p>
        </w:tc>
      </w:tr>
      <w:tr>
        <w:trPr/>
        <w:tc>
          <w:tcPr>
            <w:tcW w:w="445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Gathering, transportation, and other costs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2,834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2,913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5" w:type="dxa"/>
            <w:tcBorders/>
            <w:shd w:fill="CCEEFF" w:val="clear"/>
            <w:vAlign w:val="center"/>
          </w:tcPr>
          <w:p>
            <w:pPr>
              <w:pStyle w:val="TableContents"/>
              <w:bidi w:val="0"/>
              <w:spacing w:lineRule="auto" w:line="321" w:before="0" w:after="1"/>
              <w:ind w:left="0" w:right="0" w:hanging="0"/>
              <w:jc w:val="left"/>
              <w:rPr/>
            </w:pPr>
            <w:r>
              <w:rPr/>
              <w:t>​</w:t>
            </w:r>
          </w:p>
        </w:tc>
        <w:tc>
          <w:tcPr>
            <w:tcW w:w="101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2,667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8,393</w:t>
            </w:r>
          </w:p>
        </w:tc>
        <w:tc>
          <w:tcPr>
            <w:tcW w:w="110"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74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8,592</w:t>
            </w:r>
          </w:p>
        </w:tc>
      </w:tr>
      <w:tr>
        <w:trPr/>
        <w:tc>
          <w:tcPr>
            <w:tcW w:w="445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Other lease operating costs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8,808</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9,002</w:t>
            </w:r>
          </w:p>
        </w:tc>
        <w:tc>
          <w:tcPr>
            <w:tcW w:w="346" w:type="dxa"/>
            <w:tcBorders/>
            <w:vAlign w:val="center"/>
          </w:tcPr>
          <w:p>
            <w:pPr>
              <w:pStyle w:val="TableContents"/>
              <w:bidi w:val="0"/>
              <w:spacing w:lineRule="auto" w:line="321" w:before="0" w:after="1"/>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1016"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8,255</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25,838</w:t>
            </w:r>
          </w:p>
        </w:tc>
        <w:tc>
          <w:tcPr>
            <w:tcW w:w="110" w:type="dxa"/>
            <w:tcBorders/>
            <w:vAlign w:val="center"/>
          </w:tcPr>
          <w:p>
            <w:pPr>
              <w:pStyle w:val="TableContents"/>
              <w:bidi w:val="0"/>
              <w:spacing w:lineRule="auto" w:line="321"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25,051</w:t>
            </w:r>
          </w:p>
        </w:tc>
      </w:tr>
      <w:tr>
        <w:trPr/>
        <w:tc>
          <w:tcPr>
            <w:tcW w:w="445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lease operating costs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12,959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13,388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1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11,510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37,556</w:t>
            </w:r>
          </w:p>
        </w:tc>
        <w:tc>
          <w:tcPr>
            <w:tcW w:w="110"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4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37,971</w:t>
            </w:r>
          </w:p>
        </w:tc>
      </w:tr>
      <w:tr>
        <w:trPr/>
        <w:tc>
          <w:tcPr>
            <w:tcW w:w="4455"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15" w:type="dxa"/>
            <w:tcBorders/>
            <w:vAlign w:val="center"/>
          </w:tcPr>
          <w:p>
            <w:pPr>
              <w:pStyle w:val="TableContents"/>
              <w:bidi w:val="0"/>
              <w:spacing w:lineRule="auto" w:line="321" w:before="0" w:after="1"/>
              <w:ind w:left="0" w:right="0" w:hanging="0"/>
              <w:jc w:val="left"/>
              <w:rPr/>
            </w:pPr>
            <w:r>
              <w:rPr/>
              <w:t>​</w:t>
            </w:r>
          </w:p>
        </w:tc>
        <w:tc>
          <w:tcPr>
            <w:tcW w:w="101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left"/>
              <w:rPr/>
            </w:pPr>
            <w:r>
              <w:rPr/>
              <w:t>​</w:t>
            </w:r>
          </w:p>
        </w:tc>
        <w:tc>
          <w:tcPr>
            <w:tcW w:w="110"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741" w:type="dxa"/>
            <w:tcBorders/>
            <w:vAlign w:val="center"/>
          </w:tcPr>
          <w:p>
            <w:pPr>
              <w:pStyle w:val="TableContents"/>
              <w:bidi w:val="0"/>
              <w:spacing w:lineRule="auto" w:line="321" w:before="0" w:after="1"/>
              <w:ind w:left="0" w:right="0" w:hanging="0"/>
              <w:jc w:val="left"/>
              <w:rPr/>
            </w:pPr>
            <w:r>
              <w:rPr/>
              <w:t>​</w:t>
            </w:r>
          </w:p>
        </w:tc>
      </w:tr>
      <w:tr>
        <w:trPr/>
        <w:tc>
          <w:tcPr>
            <w:tcW w:w="445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Depletion of full cost proved oil and natural gas properties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4,900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4,607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1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5,532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15,992</w:t>
            </w:r>
          </w:p>
        </w:tc>
        <w:tc>
          <w:tcPr>
            <w:tcW w:w="110"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4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14,956</w:t>
            </w:r>
          </w:p>
        </w:tc>
      </w:tr>
      <w:tr>
        <w:trPr/>
        <w:tc>
          <w:tcPr>
            <w:tcW w:w="4455"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15" w:type="dxa"/>
            <w:tcBorders/>
            <w:vAlign w:val="center"/>
          </w:tcPr>
          <w:p>
            <w:pPr>
              <w:pStyle w:val="TableContents"/>
              <w:bidi w:val="0"/>
              <w:spacing w:lineRule="auto" w:line="321" w:before="0" w:after="1"/>
              <w:ind w:left="0" w:right="0" w:hanging="0"/>
              <w:jc w:val="left"/>
              <w:rPr/>
            </w:pPr>
            <w:r>
              <w:rPr/>
              <w:t>​</w:t>
            </w:r>
          </w:p>
        </w:tc>
        <w:tc>
          <w:tcPr>
            <w:tcW w:w="101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left"/>
              <w:rPr/>
            </w:pPr>
            <w:r>
              <w:rPr/>
              <w:t>​</w:t>
            </w:r>
          </w:p>
        </w:tc>
        <w:tc>
          <w:tcPr>
            <w:tcW w:w="110"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741" w:type="dxa"/>
            <w:tcBorders/>
            <w:vAlign w:val="center"/>
          </w:tcPr>
          <w:p>
            <w:pPr>
              <w:pStyle w:val="TableContents"/>
              <w:bidi w:val="0"/>
              <w:spacing w:lineRule="auto" w:line="321" w:before="0" w:after="1"/>
              <w:ind w:left="0" w:right="0" w:hanging="0"/>
              <w:jc w:val="left"/>
              <w:rPr/>
            </w:pPr>
            <w:r>
              <w:rPr/>
              <w:t>​</w:t>
            </w:r>
          </w:p>
        </w:tc>
      </w:tr>
      <w:tr>
        <w:trPr/>
        <w:tc>
          <w:tcPr>
            <w:tcW w:w="4455" w:type="dxa"/>
            <w:tcBorders/>
            <w:shd w:fill="CCEEFF" w:val="clear"/>
            <w:vAlign w:val="center"/>
          </w:tcPr>
          <w:p>
            <w:pPr>
              <w:pStyle w:val="TableContents"/>
              <w:bidi w:val="0"/>
              <w:spacing w:lineRule="auto" w:line="321" w:before="0" w:after="1"/>
              <w:ind w:left="0" w:right="0" w:hanging="0"/>
              <w:jc w:val="left"/>
              <w:rPr>
                <w:rFonts w:ascii="Segoe UI" w:hAnsi="Segoe UI"/>
                <w:b/>
                <w:sz w:val="16"/>
              </w:rPr>
            </w:pPr>
            <w:r>
              <w:rPr>
                <w:rFonts w:ascii="Segoe UI" w:hAnsi="Segoe UI"/>
                <w:b/>
                <w:sz w:val="16"/>
              </w:rPr>
              <w:t xml:space="preserve">Production: </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5" w:type="dxa"/>
            <w:tcBorders/>
            <w:shd w:fill="CCEEFF" w:val="clear"/>
            <w:vAlign w:val="center"/>
          </w:tcPr>
          <w:p>
            <w:pPr>
              <w:pStyle w:val="TableContents"/>
              <w:bidi w:val="0"/>
              <w:spacing w:lineRule="auto" w:line="321" w:before="0" w:after="1"/>
              <w:ind w:left="0" w:right="0" w:hanging="0"/>
              <w:jc w:val="left"/>
              <w:rPr/>
            </w:pPr>
            <w:r>
              <w:rPr/>
              <w:t>​</w:t>
            </w:r>
          </w:p>
        </w:tc>
        <w:tc>
          <w:tcPr>
            <w:tcW w:w="101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left"/>
              <w:rPr/>
            </w:pPr>
            <w:r>
              <w:rPr/>
              <w:t>​</w:t>
            </w:r>
          </w:p>
        </w:tc>
        <w:tc>
          <w:tcPr>
            <w:tcW w:w="110"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741" w:type="dxa"/>
            <w:tcBorders/>
            <w:shd w:fill="CCEEFF" w:val="clear"/>
            <w:vAlign w:val="center"/>
          </w:tcPr>
          <w:p>
            <w:pPr>
              <w:pStyle w:val="TableContents"/>
              <w:bidi w:val="0"/>
              <w:spacing w:lineRule="auto" w:line="321" w:before="0" w:after="1"/>
              <w:ind w:left="0" w:right="0" w:hanging="0"/>
              <w:jc w:val="left"/>
              <w:rPr/>
            </w:pPr>
            <w:r>
              <w:rPr/>
              <w:t>​</w:t>
            </w:r>
          </w:p>
        </w:tc>
      </w:tr>
      <w:tr>
        <w:trPr/>
        <w:tc>
          <w:tcPr>
            <w:tcW w:w="445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Crude oil (MBBL)</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177</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172</w:t>
            </w:r>
          </w:p>
        </w:tc>
        <w:tc>
          <w:tcPr>
            <w:tcW w:w="346" w:type="dxa"/>
            <w:tcBorders/>
            <w:vAlign w:val="center"/>
          </w:tcPr>
          <w:p>
            <w:pPr>
              <w:pStyle w:val="TableContents"/>
              <w:bidi w:val="0"/>
              <w:spacing w:lineRule="auto" w:line="321" w:before="0" w:after="1"/>
              <w:ind w:left="0" w:right="0" w:hanging="0"/>
              <w:jc w:val="left"/>
              <w:rPr/>
            </w:pPr>
            <w:r>
              <w:rPr/>
              <w:t>​</w:t>
            </w:r>
          </w:p>
        </w:tc>
        <w:tc>
          <w:tcPr>
            <w:tcW w:w="315" w:type="dxa"/>
            <w:tcBorders/>
            <w:vAlign w:val="center"/>
          </w:tcPr>
          <w:p>
            <w:pPr>
              <w:pStyle w:val="TableContents"/>
              <w:bidi w:val="0"/>
              <w:spacing w:lineRule="auto" w:line="321" w:before="0" w:after="1"/>
              <w:ind w:left="0" w:right="0" w:hanging="0"/>
              <w:jc w:val="left"/>
              <w:rPr/>
            </w:pPr>
            <w:r>
              <w:rPr/>
              <w:t>​</w:t>
            </w:r>
          </w:p>
        </w:tc>
        <w:tc>
          <w:tcPr>
            <w:tcW w:w="101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193</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577</w:t>
            </w:r>
          </w:p>
        </w:tc>
        <w:tc>
          <w:tcPr>
            <w:tcW w:w="110"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74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555</w:t>
            </w:r>
          </w:p>
        </w:tc>
      </w:tr>
      <w:tr>
        <w:trPr/>
        <w:tc>
          <w:tcPr>
            <w:tcW w:w="445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Natural gas (MMCF)</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1,968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2,011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5" w:type="dxa"/>
            <w:tcBorders/>
            <w:shd w:fill="CCEEFF" w:val="clear"/>
            <w:vAlign w:val="center"/>
          </w:tcPr>
          <w:p>
            <w:pPr>
              <w:pStyle w:val="TableContents"/>
              <w:bidi w:val="0"/>
              <w:spacing w:lineRule="auto" w:line="321" w:before="0" w:after="1"/>
              <w:ind w:left="0" w:right="0" w:hanging="0"/>
              <w:jc w:val="left"/>
              <w:rPr/>
            </w:pPr>
            <w:r>
              <w:rPr/>
              <w:t>​</w:t>
            </w:r>
          </w:p>
        </w:tc>
        <w:tc>
          <w:tcPr>
            <w:tcW w:w="101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2,241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6,359</w:t>
            </w:r>
          </w:p>
        </w:tc>
        <w:tc>
          <w:tcPr>
            <w:tcW w:w="110"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74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6,364</w:t>
            </w:r>
          </w:p>
        </w:tc>
      </w:tr>
      <w:tr>
        <w:trPr/>
        <w:tc>
          <w:tcPr>
            <w:tcW w:w="445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Natural gas liquids (MBBL)</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98</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93</w:t>
            </w:r>
          </w:p>
        </w:tc>
        <w:tc>
          <w:tcPr>
            <w:tcW w:w="346" w:type="dxa"/>
            <w:tcBorders/>
            <w:vAlign w:val="center"/>
          </w:tcPr>
          <w:p>
            <w:pPr>
              <w:pStyle w:val="TableContents"/>
              <w:bidi w:val="0"/>
              <w:spacing w:lineRule="auto" w:line="321" w:before="0" w:after="1"/>
              <w:ind w:left="0" w:right="0" w:hanging="0"/>
              <w:jc w:val="left"/>
              <w:rPr/>
            </w:pPr>
            <w:r>
              <w:rPr/>
              <w:t>​</w:t>
            </w:r>
          </w:p>
        </w:tc>
        <w:tc>
          <w:tcPr>
            <w:tcW w:w="315" w:type="dxa"/>
            <w:tcBorders/>
            <w:vAlign w:val="center"/>
          </w:tcPr>
          <w:p>
            <w:pPr>
              <w:pStyle w:val="TableContents"/>
              <w:bidi w:val="0"/>
              <w:spacing w:lineRule="auto" w:line="321" w:before="0" w:after="1"/>
              <w:ind w:left="0" w:right="0" w:hanging="0"/>
              <w:jc w:val="left"/>
              <w:rPr/>
            </w:pPr>
            <w:r>
              <w:rPr/>
              <w:t>​</w:t>
            </w:r>
          </w:p>
        </w:tc>
        <w:tc>
          <w:tcPr>
            <w:tcW w:w="101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112</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318</w:t>
            </w:r>
          </w:p>
        </w:tc>
        <w:tc>
          <w:tcPr>
            <w:tcW w:w="110"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74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311</w:t>
            </w:r>
          </w:p>
        </w:tc>
      </w:tr>
      <w:tr>
        <w:trPr/>
        <w:tc>
          <w:tcPr>
            <w:tcW w:w="4455" w:type="dxa"/>
            <w:tcBorders/>
            <w:shd w:fill="CCEEFF" w:val="clear"/>
            <w:vAlign w:val="center"/>
          </w:tcPr>
          <w:p>
            <w:pPr>
              <w:pStyle w:val="TableContents"/>
              <w:bidi w:val="0"/>
              <w:spacing w:before="0" w:after="1"/>
              <w:ind w:left="0" w:right="0" w:hanging="0"/>
              <w:jc w:val="left"/>
              <w:rPr>
                <w:rFonts w:ascii="Segoe UI" w:hAnsi="Segoe UI"/>
                <w:sz w:val="16"/>
              </w:rPr>
            </w:pPr>
            <w:r>
              <w:rPr>
                <w:rFonts w:ascii="Segoe UI" w:hAnsi="Segoe UI"/>
                <w:sz w:val="16"/>
              </w:rPr>
              <w:t>Equivalent (MBOE)</w:t>
            </w:r>
            <w:r>
              <w:rPr>
                <w:rFonts w:ascii="Segoe UI" w:hAnsi="Segoe UI"/>
                <w:sz w:val="12"/>
              </w:rPr>
              <w:t>(1)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603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600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5" w:type="dxa"/>
            <w:tcBorders/>
            <w:shd w:fill="CCEEFF" w:val="clear"/>
            <w:vAlign w:val="center"/>
          </w:tcPr>
          <w:p>
            <w:pPr>
              <w:pStyle w:val="TableContents"/>
              <w:bidi w:val="0"/>
              <w:spacing w:lineRule="auto" w:line="321" w:before="0" w:after="1"/>
              <w:ind w:left="0" w:right="0" w:hanging="0"/>
              <w:jc w:val="left"/>
              <w:rPr/>
            </w:pPr>
            <w:r>
              <w:rPr/>
              <w:t>​</w:t>
            </w:r>
          </w:p>
        </w:tc>
        <w:tc>
          <w:tcPr>
            <w:tcW w:w="101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679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1,955</w:t>
            </w:r>
          </w:p>
        </w:tc>
        <w:tc>
          <w:tcPr>
            <w:tcW w:w="110"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74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1,927</w:t>
            </w:r>
          </w:p>
        </w:tc>
      </w:tr>
      <w:tr>
        <w:trPr/>
        <w:tc>
          <w:tcPr>
            <w:tcW w:w="4455" w:type="dxa"/>
            <w:tcBorders/>
            <w:vAlign w:val="center"/>
          </w:tcPr>
          <w:p>
            <w:pPr>
              <w:pStyle w:val="TableContents"/>
              <w:bidi w:val="0"/>
              <w:spacing w:before="0" w:after="1"/>
              <w:ind w:left="0" w:right="0" w:hanging="0"/>
              <w:jc w:val="left"/>
              <w:rPr>
                <w:rFonts w:ascii="Segoe UI" w:hAnsi="Segoe UI"/>
                <w:sz w:val="16"/>
              </w:rPr>
            </w:pPr>
            <w:r>
              <w:rPr>
                <w:rFonts w:ascii="Segoe UI" w:hAnsi="Segoe UI"/>
                <w:sz w:val="16"/>
              </w:rPr>
              <w:t>Average daily production (BOEPD)</w:t>
            </w:r>
            <w:r>
              <w:rPr>
                <w:rFonts w:ascii="Segoe UI" w:hAnsi="Segoe UI"/>
                <w:sz w:val="12"/>
              </w:rPr>
              <w:t>(1)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6,700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6,667</w:t>
            </w:r>
          </w:p>
        </w:tc>
        <w:tc>
          <w:tcPr>
            <w:tcW w:w="346" w:type="dxa"/>
            <w:tcBorders/>
            <w:vAlign w:val="center"/>
          </w:tcPr>
          <w:p>
            <w:pPr>
              <w:pStyle w:val="TableContents"/>
              <w:bidi w:val="0"/>
              <w:spacing w:lineRule="auto" w:line="321" w:before="0" w:after="1"/>
              <w:ind w:left="0" w:right="0" w:hanging="0"/>
              <w:jc w:val="left"/>
              <w:rPr/>
            </w:pPr>
            <w:r>
              <w:rPr/>
              <w:t>​</w:t>
            </w:r>
          </w:p>
        </w:tc>
        <w:tc>
          <w:tcPr>
            <w:tcW w:w="315" w:type="dxa"/>
            <w:tcBorders/>
            <w:vAlign w:val="center"/>
          </w:tcPr>
          <w:p>
            <w:pPr>
              <w:pStyle w:val="TableContents"/>
              <w:bidi w:val="0"/>
              <w:spacing w:lineRule="auto" w:line="321" w:before="0" w:after="1"/>
              <w:ind w:left="0" w:right="0" w:hanging="0"/>
              <w:jc w:val="left"/>
              <w:rPr/>
            </w:pPr>
            <w:r>
              <w:rPr/>
              <w:t>​</w:t>
            </w:r>
          </w:p>
        </w:tc>
        <w:tc>
          <w:tcPr>
            <w:tcW w:w="101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7,380</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7,135</w:t>
            </w:r>
          </w:p>
        </w:tc>
        <w:tc>
          <w:tcPr>
            <w:tcW w:w="110"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74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7,033</w:t>
            </w:r>
          </w:p>
        </w:tc>
      </w:tr>
      <w:tr>
        <w:trPr/>
        <w:tc>
          <w:tcPr>
            <w:tcW w:w="4455"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5" w:type="dxa"/>
            <w:tcBorders/>
            <w:shd w:fill="CCEEFF" w:val="clear"/>
            <w:vAlign w:val="center"/>
          </w:tcPr>
          <w:p>
            <w:pPr>
              <w:pStyle w:val="TableContents"/>
              <w:bidi w:val="0"/>
              <w:spacing w:lineRule="auto" w:line="321" w:before="0" w:after="1"/>
              <w:ind w:left="0" w:right="0" w:hanging="0"/>
              <w:jc w:val="left"/>
              <w:rPr/>
            </w:pPr>
            <w:r>
              <w:rPr/>
              <w:t>​</w:t>
            </w:r>
          </w:p>
        </w:tc>
        <w:tc>
          <w:tcPr>
            <w:tcW w:w="101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left"/>
              <w:rPr/>
            </w:pPr>
            <w:r>
              <w:rPr/>
              <w:t>​</w:t>
            </w:r>
          </w:p>
        </w:tc>
        <w:tc>
          <w:tcPr>
            <w:tcW w:w="110"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741" w:type="dxa"/>
            <w:tcBorders/>
            <w:shd w:fill="CCEEFF" w:val="clear"/>
            <w:vAlign w:val="center"/>
          </w:tcPr>
          <w:p>
            <w:pPr>
              <w:pStyle w:val="TableContents"/>
              <w:bidi w:val="0"/>
              <w:spacing w:lineRule="auto" w:line="321" w:before="0" w:after="1"/>
              <w:ind w:left="0" w:right="0" w:hanging="0"/>
              <w:jc w:val="left"/>
              <w:rPr/>
            </w:pPr>
            <w:r>
              <w:rPr/>
              <w:t>​</w:t>
            </w:r>
          </w:p>
        </w:tc>
      </w:tr>
      <w:tr>
        <w:trPr/>
        <w:tc>
          <w:tcPr>
            <w:tcW w:w="4455" w:type="dxa"/>
            <w:tcBorders/>
            <w:vAlign w:val="center"/>
          </w:tcPr>
          <w:p>
            <w:pPr>
              <w:pStyle w:val="TableContents"/>
              <w:bidi w:val="0"/>
              <w:spacing w:before="0" w:after="1"/>
              <w:ind w:left="0" w:right="0" w:hanging="0"/>
              <w:jc w:val="left"/>
              <w:rPr>
                <w:rFonts w:ascii="Segoe UI" w:hAnsi="Segoe UI"/>
                <w:sz w:val="16"/>
              </w:rPr>
            </w:pPr>
            <w:r>
              <w:rPr>
                <w:rFonts w:ascii="Segoe UI" w:hAnsi="Segoe UI"/>
                <w:b/>
                <w:sz w:val="16"/>
              </w:rPr>
              <w:t>Average price per unit:</w:t>
            </w:r>
            <w:r>
              <w:rPr>
                <w:rFonts w:ascii="Segoe UI" w:hAnsi="Segoe UI"/>
                <w:sz w:val="12"/>
              </w:rPr>
              <w:t>(2)</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15" w:type="dxa"/>
            <w:tcBorders/>
            <w:vAlign w:val="center"/>
          </w:tcPr>
          <w:p>
            <w:pPr>
              <w:pStyle w:val="TableContents"/>
              <w:bidi w:val="0"/>
              <w:spacing w:lineRule="auto" w:line="321" w:before="0" w:after="1"/>
              <w:ind w:left="0" w:right="0" w:hanging="0"/>
              <w:jc w:val="left"/>
              <w:rPr/>
            </w:pPr>
            <w:r>
              <w:rPr/>
              <w:t>​</w:t>
            </w:r>
          </w:p>
        </w:tc>
        <w:tc>
          <w:tcPr>
            <w:tcW w:w="101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left"/>
              <w:rPr/>
            </w:pPr>
            <w:r>
              <w:rPr/>
              <w:t>​</w:t>
            </w:r>
          </w:p>
        </w:tc>
        <w:tc>
          <w:tcPr>
            <w:tcW w:w="110"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741" w:type="dxa"/>
            <w:tcBorders/>
            <w:vAlign w:val="center"/>
          </w:tcPr>
          <w:p>
            <w:pPr>
              <w:pStyle w:val="TableContents"/>
              <w:bidi w:val="0"/>
              <w:spacing w:lineRule="auto" w:line="321" w:before="0" w:after="1"/>
              <w:ind w:left="0" w:right="0" w:hanging="0"/>
              <w:jc w:val="left"/>
              <w:rPr/>
            </w:pPr>
            <w:r>
              <w:rPr/>
              <w:t>​</w:t>
            </w:r>
          </w:p>
        </w:tc>
      </w:tr>
      <w:tr>
        <w:trPr/>
        <w:tc>
          <w:tcPr>
            <w:tcW w:w="445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Crude oil (BBL)</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59.18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68.42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1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55.42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59.00</w:t>
            </w:r>
          </w:p>
        </w:tc>
        <w:tc>
          <w:tcPr>
            <w:tcW w:w="110"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4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68.95</w:t>
            </w:r>
          </w:p>
        </w:tc>
      </w:tr>
      <w:tr>
        <w:trPr/>
        <w:tc>
          <w:tcPr>
            <w:tcW w:w="445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Natural gas (MCF)</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3.70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3.87</w:t>
            </w:r>
          </w:p>
        </w:tc>
        <w:tc>
          <w:tcPr>
            <w:tcW w:w="346" w:type="dxa"/>
            <w:tcBorders/>
            <w:vAlign w:val="center"/>
          </w:tcPr>
          <w:p>
            <w:pPr>
              <w:pStyle w:val="TableContents"/>
              <w:bidi w:val="0"/>
              <w:spacing w:lineRule="auto" w:line="321" w:before="0" w:after="1"/>
              <w:ind w:left="0" w:right="0" w:hanging="0"/>
              <w:jc w:val="left"/>
              <w:rPr/>
            </w:pPr>
            <w:r>
              <w:rPr/>
              <w:t>​</w:t>
            </w:r>
          </w:p>
        </w:tc>
        <w:tc>
          <w:tcPr>
            <w:tcW w:w="315" w:type="dxa"/>
            <w:tcBorders/>
            <w:vAlign w:val="center"/>
          </w:tcPr>
          <w:p>
            <w:pPr>
              <w:pStyle w:val="TableContents"/>
              <w:bidi w:val="0"/>
              <w:spacing w:lineRule="auto" w:line="321" w:before="0" w:after="1"/>
              <w:ind w:left="0" w:right="0" w:hanging="0"/>
              <w:jc w:val="left"/>
              <w:rPr/>
            </w:pPr>
            <w:r>
              <w:rPr/>
              <w:t>​</w:t>
            </w:r>
          </w:p>
        </w:tc>
        <w:tc>
          <w:tcPr>
            <w:tcW w:w="101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3.32</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3.24</w:t>
            </w:r>
          </w:p>
        </w:tc>
        <w:tc>
          <w:tcPr>
            <w:tcW w:w="110"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74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2.81</w:t>
            </w:r>
          </w:p>
        </w:tc>
      </w:tr>
      <w:tr>
        <w:trPr/>
        <w:tc>
          <w:tcPr>
            <w:tcW w:w="445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Natural Gas Liquids (BBL)</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24.59</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32.28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5" w:type="dxa"/>
            <w:tcBorders/>
            <w:shd w:fill="CCEEFF" w:val="clear"/>
            <w:vAlign w:val="center"/>
          </w:tcPr>
          <w:p>
            <w:pPr>
              <w:pStyle w:val="TableContents"/>
              <w:bidi w:val="0"/>
              <w:spacing w:lineRule="auto" w:line="321" w:before="0" w:after="1"/>
              <w:ind w:left="0" w:right="0" w:hanging="0"/>
              <w:jc w:val="left"/>
              <w:rPr/>
            </w:pPr>
            <w:r>
              <w:rPr/>
              <w:t>​</w:t>
            </w:r>
          </w:p>
        </w:tc>
        <w:tc>
          <w:tcPr>
            <w:tcW w:w="101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22.70</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23.48</w:t>
            </w:r>
          </w:p>
        </w:tc>
        <w:tc>
          <w:tcPr>
            <w:tcW w:w="110"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74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27.64</w:t>
            </w:r>
          </w:p>
        </w:tc>
      </w:tr>
      <w:tr>
        <w:trPr/>
        <w:tc>
          <w:tcPr>
            <w:tcW w:w="4455" w:type="dxa"/>
            <w:tcBorders/>
            <w:vAlign w:val="center"/>
          </w:tcPr>
          <w:p>
            <w:pPr>
              <w:pStyle w:val="TableContents"/>
              <w:bidi w:val="0"/>
              <w:spacing w:before="0" w:after="1"/>
              <w:ind w:left="0" w:right="0" w:hanging="0"/>
              <w:jc w:val="left"/>
              <w:rPr>
                <w:rFonts w:ascii="Segoe UI" w:hAnsi="Segoe UI"/>
                <w:sz w:val="16"/>
              </w:rPr>
            </w:pPr>
            <w:r>
              <w:rPr>
                <w:rFonts w:ascii="Segoe UI" w:hAnsi="Segoe UI"/>
                <w:sz w:val="16"/>
              </w:rPr>
              <w:t>Equivalent (BOE)</w:t>
            </w:r>
            <w:r>
              <w:rPr>
                <w:rFonts w:ascii="Segoe UI" w:hAnsi="Segoe UI"/>
                <w:sz w:val="12"/>
              </w:rPr>
              <w:t>(1)</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33.45</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37.60</w:t>
            </w:r>
          </w:p>
        </w:tc>
        <w:tc>
          <w:tcPr>
            <w:tcW w:w="346" w:type="dxa"/>
            <w:tcBorders/>
            <w:vAlign w:val="center"/>
          </w:tcPr>
          <w:p>
            <w:pPr>
              <w:pStyle w:val="TableContents"/>
              <w:bidi w:val="0"/>
              <w:spacing w:lineRule="auto" w:line="321" w:before="0" w:after="1"/>
              <w:ind w:left="0" w:right="0" w:hanging="0"/>
              <w:jc w:val="left"/>
              <w:rPr/>
            </w:pPr>
            <w:r>
              <w:rPr/>
              <w:t>​</w:t>
            </w:r>
          </w:p>
        </w:tc>
        <w:tc>
          <w:tcPr>
            <w:tcW w:w="31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1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30.46</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31.78</w:t>
            </w:r>
          </w:p>
        </w:tc>
        <w:tc>
          <w:tcPr>
            <w:tcW w:w="110"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4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33.59</w:t>
            </w:r>
          </w:p>
        </w:tc>
      </w:tr>
      <w:tr>
        <w:trPr/>
        <w:tc>
          <w:tcPr>
            <w:tcW w:w="4455"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5" w:type="dxa"/>
            <w:tcBorders/>
            <w:shd w:fill="CCEEFF" w:val="clear"/>
            <w:vAlign w:val="center"/>
          </w:tcPr>
          <w:p>
            <w:pPr>
              <w:pStyle w:val="TableContents"/>
              <w:bidi w:val="0"/>
              <w:spacing w:lineRule="auto" w:line="321" w:before="0" w:after="1"/>
              <w:ind w:left="0" w:right="0" w:hanging="0"/>
              <w:jc w:val="left"/>
              <w:rPr/>
            </w:pPr>
            <w:r>
              <w:rPr/>
              <w:t>​</w:t>
            </w:r>
          </w:p>
        </w:tc>
        <w:tc>
          <w:tcPr>
            <w:tcW w:w="101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left"/>
              <w:rPr/>
            </w:pPr>
            <w:r>
              <w:rPr/>
              <w:t>​</w:t>
            </w:r>
          </w:p>
        </w:tc>
        <w:tc>
          <w:tcPr>
            <w:tcW w:w="110"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741" w:type="dxa"/>
            <w:tcBorders/>
            <w:shd w:fill="CCEEFF" w:val="clear"/>
            <w:vAlign w:val="center"/>
          </w:tcPr>
          <w:p>
            <w:pPr>
              <w:pStyle w:val="TableContents"/>
              <w:bidi w:val="0"/>
              <w:spacing w:lineRule="auto" w:line="321" w:before="0" w:after="1"/>
              <w:ind w:left="0" w:right="0" w:hanging="0"/>
              <w:jc w:val="left"/>
              <w:rPr/>
            </w:pPr>
            <w:r>
              <w:rPr/>
              <w:t>​</w:t>
            </w:r>
          </w:p>
        </w:tc>
      </w:tr>
      <w:tr>
        <w:trPr/>
        <w:tc>
          <w:tcPr>
            <w:tcW w:w="4455" w:type="dxa"/>
            <w:tcBorders/>
            <w:vAlign w:val="center"/>
          </w:tcPr>
          <w:p>
            <w:pPr>
              <w:pStyle w:val="TableContents"/>
              <w:bidi w:val="0"/>
              <w:spacing w:lineRule="auto" w:line="321" w:before="0" w:after="1"/>
              <w:ind w:left="0" w:right="0" w:hanging="0"/>
              <w:jc w:val="left"/>
              <w:rPr>
                <w:rFonts w:ascii="Segoe UI" w:hAnsi="Segoe UI"/>
                <w:b/>
                <w:sz w:val="16"/>
              </w:rPr>
            </w:pPr>
            <w:r>
              <w:rPr>
                <w:rFonts w:ascii="Segoe UI" w:hAnsi="Segoe UI"/>
                <w:b/>
                <w:sz w:val="16"/>
              </w:rPr>
              <w:t>Average cost per unit: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15" w:type="dxa"/>
            <w:tcBorders/>
            <w:vAlign w:val="center"/>
          </w:tcPr>
          <w:p>
            <w:pPr>
              <w:pStyle w:val="TableContents"/>
              <w:bidi w:val="0"/>
              <w:spacing w:lineRule="auto" w:line="321" w:before="0" w:after="1"/>
              <w:ind w:left="0" w:right="0" w:hanging="0"/>
              <w:jc w:val="left"/>
              <w:rPr/>
            </w:pPr>
            <w:r>
              <w:rPr/>
              <w:t>​</w:t>
            </w:r>
          </w:p>
        </w:tc>
        <w:tc>
          <w:tcPr>
            <w:tcW w:w="1016"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left"/>
              <w:rPr/>
            </w:pPr>
            <w:r>
              <w:rPr/>
              <w:t>​</w:t>
            </w:r>
          </w:p>
        </w:tc>
        <w:tc>
          <w:tcPr>
            <w:tcW w:w="110"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741" w:type="dxa"/>
            <w:tcBorders/>
            <w:vAlign w:val="center"/>
          </w:tcPr>
          <w:p>
            <w:pPr>
              <w:pStyle w:val="TableContents"/>
              <w:bidi w:val="0"/>
              <w:spacing w:lineRule="auto" w:line="321" w:before="0" w:after="1"/>
              <w:ind w:left="0" w:right="0" w:hanging="0"/>
              <w:jc w:val="left"/>
              <w:rPr/>
            </w:pPr>
            <w:r>
              <w:rPr/>
              <w:t>​</w:t>
            </w:r>
          </w:p>
        </w:tc>
      </w:tr>
      <w:tr>
        <w:trPr/>
        <w:tc>
          <w:tcPr>
            <w:tcW w:w="445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Ad valorem and production taxes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1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0.87</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1.70</w:t>
            </w:r>
          </w:p>
        </w:tc>
        <w:tc>
          <w:tcPr>
            <w:tcW w:w="110"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4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2.25</w:t>
            </w:r>
          </w:p>
        </w:tc>
      </w:tr>
      <w:tr>
        <w:trPr/>
        <w:tc>
          <w:tcPr>
            <w:tcW w:w="445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Gathering, transportation, and other costs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4.70</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4.86</w:t>
            </w:r>
          </w:p>
        </w:tc>
        <w:tc>
          <w:tcPr>
            <w:tcW w:w="346" w:type="dxa"/>
            <w:tcBorders/>
            <w:vAlign w:val="center"/>
          </w:tcPr>
          <w:p>
            <w:pPr>
              <w:pStyle w:val="TableContents"/>
              <w:bidi w:val="0"/>
              <w:spacing w:lineRule="auto" w:line="321" w:before="0" w:after="1"/>
              <w:ind w:left="0" w:right="0" w:hanging="0"/>
              <w:jc w:val="left"/>
              <w:rPr/>
            </w:pPr>
            <w:r>
              <w:rPr/>
              <w:t>​</w:t>
            </w:r>
          </w:p>
        </w:tc>
        <w:tc>
          <w:tcPr>
            <w:tcW w:w="315" w:type="dxa"/>
            <w:tcBorders/>
            <w:vAlign w:val="center"/>
          </w:tcPr>
          <w:p>
            <w:pPr>
              <w:pStyle w:val="TableContents"/>
              <w:bidi w:val="0"/>
              <w:spacing w:lineRule="auto" w:line="321" w:before="0" w:after="1"/>
              <w:ind w:left="0" w:right="0" w:hanging="0"/>
              <w:jc w:val="left"/>
              <w:rPr/>
            </w:pPr>
            <w:r>
              <w:rPr/>
              <w:t>​</w:t>
            </w:r>
          </w:p>
        </w:tc>
        <w:tc>
          <w:tcPr>
            <w:tcW w:w="101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3.93</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4.29</w:t>
            </w:r>
          </w:p>
        </w:tc>
        <w:tc>
          <w:tcPr>
            <w:tcW w:w="110"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pPr>
            <w:r>
              <w:rPr/>
              <w:t>​</w:t>
            </w:r>
          </w:p>
        </w:tc>
        <w:tc>
          <w:tcPr>
            <w:tcW w:w="74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4.46</w:t>
            </w:r>
          </w:p>
        </w:tc>
      </w:tr>
      <w:tr>
        <w:trPr/>
        <w:tc>
          <w:tcPr>
            <w:tcW w:w="4455"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Other lease operating costs</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14.61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15.00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12.16</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13.22</w:t>
            </w:r>
          </w:p>
        </w:tc>
        <w:tc>
          <w:tcPr>
            <w:tcW w:w="110"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74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13.00</w:t>
            </w:r>
          </w:p>
        </w:tc>
      </w:tr>
      <w:tr>
        <w:trPr/>
        <w:tc>
          <w:tcPr>
            <w:tcW w:w="445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 lease operating costs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21.49</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22.32</w:t>
            </w:r>
          </w:p>
        </w:tc>
        <w:tc>
          <w:tcPr>
            <w:tcW w:w="346" w:type="dxa"/>
            <w:tcBorders/>
            <w:vAlign w:val="center"/>
          </w:tcPr>
          <w:p>
            <w:pPr>
              <w:pStyle w:val="TableContents"/>
              <w:bidi w:val="0"/>
              <w:spacing w:lineRule="auto" w:line="321" w:before="0" w:after="1"/>
              <w:ind w:left="0" w:right="0" w:hanging="0"/>
              <w:jc w:val="left"/>
              <w:rPr/>
            </w:pPr>
            <w:r>
              <w:rPr/>
              <w:t>​</w:t>
            </w:r>
          </w:p>
        </w:tc>
        <w:tc>
          <w:tcPr>
            <w:tcW w:w="31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1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16.96</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19.21</w:t>
            </w:r>
          </w:p>
        </w:tc>
        <w:tc>
          <w:tcPr>
            <w:tcW w:w="110"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4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19.71</w:t>
            </w:r>
          </w:p>
        </w:tc>
      </w:tr>
      <w:tr>
        <w:trPr/>
        <w:tc>
          <w:tcPr>
            <w:tcW w:w="4455"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315" w:type="dxa"/>
            <w:tcBorders/>
            <w:shd w:fill="CCEEFF" w:val="clear"/>
            <w:vAlign w:val="center"/>
          </w:tcPr>
          <w:p>
            <w:pPr>
              <w:pStyle w:val="TableContents"/>
              <w:bidi w:val="0"/>
              <w:spacing w:lineRule="auto" w:line="321" w:before="0" w:after="1"/>
              <w:ind w:left="0" w:right="0" w:hanging="0"/>
              <w:jc w:val="left"/>
              <w:rPr/>
            </w:pPr>
            <w:r>
              <w:rPr/>
              <w:t>​</w:t>
            </w:r>
          </w:p>
        </w:tc>
        <w:tc>
          <w:tcPr>
            <w:tcW w:w="1016"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691" w:type="dxa"/>
            <w:tcBorders/>
            <w:shd w:fill="CCEEFF" w:val="clear"/>
            <w:vAlign w:val="center"/>
          </w:tcPr>
          <w:p>
            <w:pPr>
              <w:pStyle w:val="TableContents"/>
              <w:bidi w:val="0"/>
              <w:spacing w:lineRule="auto" w:line="321" w:before="0" w:after="1"/>
              <w:ind w:left="0" w:right="0" w:hanging="0"/>
              <w:jc w:val="left"/>
              <w:rPr/>
            </w:pPr>
            <w:r>
              <w:rPr/>
              <w:t>​</w:t>
            </w:r>
          </w:p>
        </w:tc>
        <w:tc>
          <w:tcPr>
            <w:tcW w:w="110" w:type="dxa"/>
            <w:tcBorders/>
            <w:shd w:fill="CCEEFF" w:val="clear"/>
            <w:vAlign w:val="center"/>
          </w:tcPr>
          <w:p>
            <w:pPr>
              <w:pStyle w:val="TableContents"/>
              <w:bidi w:val="0"/>
              <w:spacing w:lineRule="auto" w:line="321" w:before="0" w:after="1"/>
              <w:ind w:left="0" w:right="0" w:hanging="0"/>
              <w:jc w:val="left"/>
              <w:rPr/>
            </w:pPr>
            <w:r>
              <w:rPr/>
              <w:t>​</w:t>
            </w:r>
          </w:p>
        </w:tc>
        <w:tc>
          <w:tcPr>
            <w:tcW w:w="215" w:type="dxa"/>
            <w:tcBorders/>
            <w:shd w:fill="CCEEFF" w:val="clear"/>
            <w:vAlign w:val="center"/>
          </w:tcPr>
          <w:p>
            <w:pPr>
              <w:pStyle w:val="TableContents"/>
              <w:bidi w:val="0"/>
              <w:spacing w:lineRule="auto" w:line="321" w:before="0" w:after="1"/>
              <w:ind w:left="0" w:right="0" w:hanging="0"/>
              <w:jc w:val="left"/>
              <w:rPr/>
            </w:pPr>
            <w:r>
              <w:rPr/>
              <w:t>​</w:t>
            </w:r>
          </w:p>
        </w:tc>
        <w:tc>
          <w:tcPr>
            <w:tcW w:w="741" w:type="dxa"/>
            <w:tcBorders/>
            <w:shd w:fill="CCEEFF" w:val="clear"/>
            <w:vAlign w:val="center"/>
          </w:tcPr>
          <w:p>
            <w:pPr>
              <w:pStyle w:val="TableContents"/>
              <w:bidi w:val="0"/>
              <w:spacing w:lineRule="auto" w:line="321" w:before="0" w:after="1"/>
              <w:ind w:left="0" w:right="0" w:hanging="0"/>
              <w:jc w:val="left"/>
              <w:rPr/>
            </w:pPr>
            <w:r>
              <w:rPr/>
              <w:t>​</w:t>
            </w:r>
          </w:p>
        </w:tc>
      </w:tr>
      <w:tr>
        <w:trPr/>
        <w:tc>
          <w:tcPr>
            <w:tcW w:w="445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Depletion of full cost proved oil and natural gas properties</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8.13</w:t>
            </w:r>
          </w:p>
        </w:tc>
        <w:tc>
          <w:tcPr>
            <w:tcW w:w="109"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7.68</w:t>
            </w:r>
          </w:p>
        </w:tc>
        <w:tc>
          <w:tcPr>
            <w:tcW w:w="346" w:type="dxa"/>
            <w:tcBorders/>
            <w:vAlign w:val="center"/>
          </w:tcPr>
          <w:p>
            <w:pPr>
              <w:pStyle w:val="TableContents"/>
              <w:bidi w:val="0"/>
              <w:spacing w:lineRule="auto" w:line="321" w:before="0" w:after="1"/>
              <w:ind w:left="0" w:right="0" w:hanging="0"/>
              <w:jc w:val="left"/>
              <w:rPr/>
            </w:pPr>
            <w:r>
              <w:rPr/>
              <w:t>​</w:t>
            </w:r>
          </w:p>
        </w:tc>
        <w:tc>
          <w:tcPr>
            <w:tcW w:w="31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101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8.15</w:t>
            </w:r>
          </w:p>
        </w:tc>
        <w:tc>
          <w:tcPr>
            <w:tcW w:w="109"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9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8.18</w:t>
            </w:r>
          </w:p>
        </w:tc>
        <w:tc>
          <w:tcPr>
            <w:tcW w:w="110" w:type="dxa"/>
            <w:tcBorders/>
            <w:vAlign w:val="center"/>
          </w:tcPr>
          <w:p>
            <w:pPr>
              <w:pStyle w:val="TableContents"/>
              <w:bidi w:val="0"/>
              <w:spacing w:lineRule="auto" w:line="321" w:before="0" w:after="1"/>
              <w:ind w:left="0" w:right="0" w:hanging="0"/>
              <w:jc w:val="left"/>
              <w:rPr/>
            </w:pPr>
            <w:r>
              <w:rPr/>
              <w:t>​</w:t>
            </w:r>
          </w:p>
        </w:tc>
        <w:tc>
          <w:tcPr>
            <w:tcW w:w="215"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741" w:type="dxa"/>
            <w:tcBorders/>
            <w:vAlign w:val="center"/>
          </w:tcPr>
          <w:p>
            <w:pPr>
              <w:pStyle w:val="TableContents"/>
              <w:bidi w:val="0"/>
              <w:spacing w:lineRule="auto" w:line="321" w:before="0" w:after="1"/>
              <w:ind w:left="0" w:right="45" w:hanging="0"/>
              <w:jc w:val="right"/>
              <w:rPr>
                <w:rFonts w:ascii="Segoe UI" w:hAnsi="Segoe UI"/>
                <w:sz w:val="16"/>
              </w:rPr>
            </w:pPr>
            <w:r>
              <w:rPr>
                <w:rFonts w:ascii="Segoe UI" w:hAnsi="Segoe UI"/>
                <w:sz w:val="16"/>
              </w:rPr>
              <w:t>7.76</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Segoe UI" w:hAnsi="Segoe UI"/>
                <w:sz w:val="16"/>
              </w:rPr>
            </w:pPr>
            <w:r>
              <w:rPr>
                <w:rFonts w:ascii="Segoe UI" w:hAnsi="Segoe UI"/>
                <w:sz w:val="16"/>
              </w:rPr>
              <w:t>(1)</w:t>
            </w:r>
          </w:p>
        </w:tc>
        <w:tc>
          <w:tcPr>
            <w:tcW w:w="9998" w:type="dxa"/>
            <w:tcBorders/>
            <w:vAlign w:val="center"/>
          </w:tcPr>
          <w:p>
            <w:pPr>
              <w:pStyle w:val="TableContents"/>
              <w:bidi w:val="0"/>
              <w:spacing w:before="0" w:after="283"/>
              <w:jc w:val="left"/>
              <w:rPr>
                <w:rFonts w:ascii="Segoe UI" w:hAnsi="Segoe UI"/>
                <w:b w:val="false"/>
                <w:i w:val="false"/>
                <w:caps w:val="false"/>
                <w:smallCaps w:val="false"/>
                <w:sz w:val="16"/>
              </w:rPr>
            </w:pPr>
            <w:r>
              <w:rPr>
                <w:rFonts w:ascii="Segoe UI" w:hAnsi="Segoe UI"/>
                <w:b w:val="false"/>
                <w:i w:val="false"/>
                <w:caps w:val="false"/>
                <w:smallCaps w:val="false"/>
                <w:sz w:val="16"/>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Segoe UI" w:hAnsi="Segoe UI"/>
                <w:sz w:val="16"/>
              </w:rPr>
            </w:pPr>
            <w:r>
              <w:rPr>
                <w:rFonts w:ascii="Segoe UI" w:hAnsi="Segoe UI"/>
                <w:sz w:val="16"/>
              </w:rPr>
              <w:t>(2)</w:t>
            </w:r>
          </w:p>
        </w:tc>
        <w:tc>
          <w:tcPr>
            <w:tcW w:w="9972" w:type="dxa"/>
            <w:tcBorders/>
            <w:vAlign w:val="center"/>
          </w:tcPr>
          <w:p>
            <w:pPr>
              <w:pStyle w:val="TableContents"/>
              <w:bidi w:val="0"/>
              <w:spacing w:before="0" w:after="283"/>
              <w:jc w:val="left"/>
              <w:rPr>
                <w:rFonts w:ascii="Segoe UI" w:hAnsi="Segoe UI"/>
                <w:b w:val="false"/>
                <w:i w:val="false"/>
                <w:caps w:val="false"/>
                <w:smallCaps w:val="false"/>
                <w:sz w:val="16"/>
              </w:rPr>
            </w:pPr>
            <w:r>
              <w:rPr>
                <w:rFonts w:ascii="Segoe UI" w:hAnsi="Segoe UI"/>
                <w:b w:val="false"/>
                <w:i w:val="false"/>
                <w:caps w:val="false"/>
                <w:smallCaps w:val="false"/>
                <w:sz w:val="16"/>
              </w:rPr>
              <w:t>Amounts exclude the impact of cash paid or received on the settlement of derivative contracts since we did not elect to apply hedge accounting.</w:t>
            </w:r>
          </w:p>
        </w:tc>
      </w:tr>
    </w:tbl>
    <w:p>
      <w:pPr>
        <w:pStyle w:val="TextBody"/>
        <w:bidi w:val="0"/>
        <w:spacing w:lineRule="auto" w:line="307" w:before="200" w:after="60"/>
        <w:ind w:left="0" w:right="0" w:hanging="0"/>
        <w:jc w:val="left"/>
        <w:rPr/>
      </w:pPr>
      <w:r>
        <w:rPr/>
        <w:t>​</w:t>
      </w:r>
    </w:p>
    <w:p>
      <w:pPr>
        <w:pStyle w:val="TextBody"/>
        <w:bidi w:val="0"/>
        <w:spacing w:lineRule="auto" w:line="285" w:before="0" w:after="0"/>
        <w:ind w:left="0" w:right="0" w:hanging="0"/>
        <w:jc w:val="center"/>
        <w:rPr>
          <w:rFonts w:ascii="Segoe UI" w:hAnsi="Segoe UI"/>
          <w:sz w:val="22"/>
        </w:rPr>
      </w:pPr>
      <w:r>
        <w:rPr>
          <w:rFonts w:ascii="Segoe UI" w:hAnsi="Segoe UI"/>
          <w:sz w:val="22"/>
        </w:rPr>
        <w:t>12</w:t>
      </w:r>
    </w:p>
    <w:p>
      <w:pPr>
        <w:pStyle w:val="HorizontalLine"/>
        <w:pBdr>
          <w:bottom w:val="double" w:sz="2" w:space="0" w:color="808080"/>
        </w:pBdr>
        <w:bidi w:val="0"/>
        <w:spacing w:before="0" w:after="283"/>
        <w:jc w:val="left"/>
        <w:rPr/>
      </w:pPr>
      <w:r>
        <w:rPr/>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Evolution Petroleum Corporation</w:t>
      </w:r>
    </w:p>
    <w:p>
      <w:pPr>
        <w:pStyle w:val="TextBody"/>
        <w:bidi w:val="0"/>
        <w:spacing w:lineRule="auto" w:line="285" w:before="0" w:after="300"/>
        <w:ind w:left="0" w:right="0" w:hanging="0"/>
        <w:jc w:val="center"/>
        <w:rPr>
          <w:rFonts w:ascii="Segoe UI Semibold" w:hAnsi="Segoe UI Semibold"/>
          <w:sz w:val="22"/>
        </w:rPr>
      </w:pPr>
      <w:r>
        <w:rPr>
          <w:rFonts w:ascii="Segoe UI Semibold" w:hAnsi="Segoe UI Semibold"/>
          <w:sz w:val="22"/>
        </w:rPr>
        <w:t>Summary of Production Volumes and Average Sales Price (Unaudited)</w:t>
      </w:r>
    </w:p>
    <w:tbl>
      <w:tblPr>
        <w:tblW w:w="9046" w:type="dxa"/>
        <w:jc w:val="left"/>
        <w:tblInd w:w="0" w:type="dxa"/>
        <w:tblLayout w:type="fixed"/>
        <w:tblCellMar>
          <w:top w:w="0" w:type="dxa"/>
          <w:left w:w="0" w:type="dxa"/>
          <w:bottom w:w="0" w:type="dxa"/>
          <w:right w:w="0" w:type="dxa"/>
        </w:tblCellMar>
      </w:tblPr>
      <w:tblGrid>
        <w:gridCol w:w="2821"/>
        <w:gridCol w:w="346"/>
        <w:gridCol w:w="116"/>
        <w:gridCol w:w="545"/>
        <w:gridCol w:w="346"/>
        <w:gridCol w:w="196"/>
        <w:gridCol w:w="511"/>
        <w:gridCol w:w="346"/>
        <w:gridCol w:w="116"/>
        <w:gridCol w:w="545"/>
        <w:gridCol w:w="346"/>
        <w:gridCol w:w="196"/>
        <w:gridCol w:w="511"/>
        <w:gridCol w:w="346"/>
        <w:gridCol w:w="116"/>
        <w:gridCol w:w="545"/>
        <w:gridCol w:w="346"/>
        <w:gridCol w:w="196"/>
        <w:gridCol w:w="556"/>
      </w:tblGrid>
      <w:tr>
        <w:trPr/>
        <w:tc>
          <w:tcPr>
            <w:tcW w:w="2821"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73660" cy="175260"/>
                      <wp:effectExtent l="0" t="0" r="0" b="0"/>
                      <wp:wrapNone/>
                      <wp:docPr id="103" name="Frame102"/>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346075" cy="175260"/>
                      <wp:effectExtent l="0" t="0" r="0" b="0"/>
                      <wp:wrapNone/>
                      <wp:docPr id="104" name="Frame103"/>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24460" cy="175260"/>
                      <wp:effectExtent l="0" t="0" r="0" b="0"/>
                      <wp:wrapNone/>
                      <wp:docPr id="106" name="Frame1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24485" cy="175260"/>
                      <wp:effectExtent l="0" t="0" r="0" b="0"/>
                      <wp:wrapNone/>
                      <wp:docPr id="107" name="Frame10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73660" cy="175260"/>
                      <wp:effectExtent l="0" t="0" r="0" b="0"/>
                      <wp:wrapNone/>
                      <wp:docPr id="109" name="Frame108"/>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46075" cy="175260"/>
                      <wp:effectExtent l="0" t="0" r="0" b="0"/>
                      <wp:wrapNone/>
                      <wp:docPr id="110" name="Frame109"/>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24460" cy="175260"/>
                      <wp:effectExtent l="0" t="0" r="0" b="0"/>
                      <wp:wrapNone/>
                      <wp:docPr id="112" name="Frame1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24485" cy="175260"/>
                      <wp:effectExtent l="0" t="0" r="0" b="0"/>
                      <wp:wrapNone/>
                      <wp:docPr id="113" name="Frame11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73660" cy="175260"/>
                      <wp:effectExtent l="0" t="0" r="0" b="0"/>
                      <wp:wrapNone/>
                      <wp:docPr id="115" name="Frame114"/>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46075" cy="175260"/>
                      <wp:effectExtent l="0" t="0" r="0" b="0"/>
                      <wp:wrapNone/>
                      <wp:docPr id="116" name="Frame115"/>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24460" cy="175260"/>
                      <wp:effectExtent l="0" t="0" r="0" b="0"/>
                      <wp:wrapNone/>
                      <wp:docPr id="118" name="Frame1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53060" cy="175260"/>
                      <wp:effectExtent l="0" t="0" r="0" b="0"/>
                      <wp:wrapNone/>
                      <wp:docPr id="119" name="Frame118"/>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5879" w:type="dxa"/>
            <w:gridSpan w:val="17"/>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Three Months Ended</w:t>
            </w:r>
          </w:p>
        </w:tc>
      </w:tr>
      <w:tr>
        <w:trPr/>
        <w:tc>
          <w:tcPr>
            <w:tcW w:w="2821"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3774" w:type="dxa"/>
            <w:gridSpan w:val="11"/>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March 31, </w:t>
            </w:r>
          </w:p>
        </w:tc>
        <w:tc>
          <w:tcPr>
            <w:tcW w:w="346" w:type="dxa"/>
            <w:tcBorders/>
            <w:vAlign w:val="center"/>
          </w:tcPr>
          <w:p>
            <w:pPr>
              <w:pStyle w:val="TableContents"/>
              <w:bidi w:val="0"/>
              <w:spacing w:lineRule="auto" w:line="321" w:before="0" w:after="1"/>
              <w:ind w:left="0" w:right="0" w:hanging="0"/>
              <w:jc w:val="center"/>
              <w:rPr/>
            </w:pPr>
            <w:r>
              <w:rPr/>
              <w:t>​</w:t>
            </w:r>
          </w:p>
        </w:tc>
        <w:tc>
          <w:tcPr>
            <w:tcW w:w="1759"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December 31,</w:t>
            </w:r>
          </w:p>
        </w:tc>
      </w:tr>
      <w:tr>
        <w:trPr/>
        <w:tc>
          <w:tcPr>
            <w:tcW w:w="2821"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714"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2026</w:t>
            </w:r>
          </w:p>
        </w:tc>
        <w:tc>
          <w:tcPr>
            <w:tcW w:w="346" w:type="dxa"/>
            <w:tcBorders/>
            <w:vAlign w:val="center"/>
          </w:tcPr>
          <w:p>
            <w:pPr>
              <w:pStyle w:val="TableContents"/>
              <w:bidi w:val="0"/>
              <w:spacing w:lineRule="auto" w:line="321" w:before="0" w:after="1"/>
              <w:ind w:left="0" w:right="0" w:hanging="0"/>
              <w:jc w:val="left"/>
              <w:rPr/>
            </w:pPr>
            <w:r>
              <w:rPr/>
              <w:t>​</w:t>
            </w:r>
          </w:p>
        </w:tc>
        <w:tc>
          <w:tcPr>
            <w:tcW w:w="1714"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2025</w:t>
            </w:r>
          </w:p>
        </w:tc>
        <w:tc>
          <w:tcPr>
            <w:tcW w:w="346" w:type="dxa"/>
            <w:tcBorders/>
            <w:vAlign w:val="center"/>
          </w:tcPr>
          <w:p>
            <w:pPr>
              <w:pStyle w:val="TableContents"/>
              <w:bidi w:val="0"/>
              <w:spacing w:lineRule="auto" w:line="321" w:before="0" w:after="1"/>
              <w:ind w:left="0" w:right="0" w:hanging="0"/>
              <w:jc w:val="left"/>
              <w:rPr/>
            </w:pPr>
            <w:r>
              <w:rPr/>
              <w:t>​</w:t>
            </w:r>
          </w:p>
        </w:tc>
        <w:tc>
          <w:tcPr>
            <w:tcW w:w="1759"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2025</w:t>
            </w:r>
          </w:p>
        </w:tc>
      </w:tr>
      <w:tr>
        <w:trPr/>
        <w:tc>
          <w:tcPr>
            <w:tcW w:w="2821"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  ​ ​ ​</w:t>
            </w:r>
          </w:p>
        </w:tc>
        <w:tc>
          <w:tcPr>
            <w:tcW w:w="661"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Volume</w:t>
            </w:r>
          </w:p>
        </w:tc>
        <w:tc>
          <w:tcPr>
            <w:tcW w:w="346" w:type="dxa"/>
            <w:tcBorders/>
            <w:vAlign w:val="center"/>
          </w:tcPr>
          <w:p>
            <w:pPr>
              <w:pStyle w:val="TableContents"/>
              <w:bidi w:val="0"/>
              <w:spacing w:lineRule="auto" w:line="321"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Price</w:t>
            </w:r>
          </w:p>
        </w:tc>
        <w:tc>
          <w:tcPr>
            <w:tcW w:w="346" w:type="dxa"/>
            <w:tcBorders/>
            <w:vAlign w:val="center"/>
          </w:tcPr>
          <w:p>
            <w:pPr>
              <w:pStyle w:val="TableContents"/>
              <w:bidi w:val="0"/>
              <w:spacing w:lineRule="auto" w:line="321" w:before="0" w:after="1"/>
              <w:ind w:left="0" w:right="0" w:hanging="0"/>
              <w:jc w:val="left"/>
              <w:rPr/>
            </w:pPr>
            <w:r>
              <w:rPr/>
              <w:t>  ​ ​ ​</w:t>
            </w:r>
          </w:p>
        </w:tc>
        <w:tc>
          <w:tcPr>
            <w:tcW w:w="661"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Volume</w:t>
            </w:r>
          </w:p>
        </w:tc>
        <w:tc>
          <w:tcPr>
            <w:tcW w:w="346" w:type="dxa"/>
            <w:tcBorders/>
            <w:vAlign w:val="center"/>
          </w:tcPr>
          <w:p>
            <w:pPr>
              <w:pStyle w:val="TableContents"/>
              <w:bidi w:val="0"/>
              <w:spacing w:lineRule="auto" w:line="321"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Price</w:t>
            </w:r>
          </w:p>
        </w:tc>
        <w:tc>
          <w:tcPr>
            <w:tcW w:w="346" w:type="dxa"/>
            <w:tcBorders/>
            <w:vAlign w:val="center"/>
          </w:tcPr>
          <w:p>
            <w:pPr>
              <w:pStyle w:val="TableContents"/>
              <w:bidi w:val="0"/>
              <w:spacing w:lineRule="auto" w:line="321" w:before="0" w:after="1"/>
              <w:ind w:left="0" w:right="0" w:hanging="0"/>
              <w:jc w:val="left"/>
              <w:rPr/>
            </w:pPr>
            <w:r>
              <w:rPr/>
              <w:t>  ​ ​ ​</w:t>
            </w:r>
          </w:p>
        </w:tc>
        <w:tc>
          <w:tcPr>
            <w:tcW w:w="661"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Volume</w:t>
            </w:r>
          </w:p>
        </w:tc>
        <w:tc>
          <w:tcPr>
            <w:tcW w:w="346" w:type="dxa"/>
            <w:tcBorders/>
            <w:vAlign w:val="center"/>
          </w:tcPr>
          <w:p>
            <w:pPr>
              <w:pStyle w:val="TableContents"/>
              <w:bidi w:val="0"/>
              <w:spacing w:lineRule="auto" w:line="321"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Price</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b/>
                <w:sz w:val="14"/>
              </w:rPr>
            </w:pPr>
            <w:r>
              <w:rPr>
                <w:rFonts w:ascii="Segoe UI" w:hAnsi="Segoe UI"/>
                <w:b/>
                <w:sz w:val="14"/>
              </w:rPr>
              <w:t>Production:</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left"/>
              <w:rPr/>
            </w:pPr>
            <w:r>
              <w:rPr/>
              <w:t>​</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Crude oil (MBBL)</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pPr>
            <w:r>
              <w:rPr/>
              <w:t>​</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SCOOP/STACK</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69.24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71.36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58.86</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Chaveroo Field</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20</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63.87</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8</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56.78</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26</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53.39</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Jonah Field</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63.70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67.69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52.95</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Williston Basin</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28</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64.57</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34</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64.35</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31</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52.15</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Barnett Shale</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66.12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68.03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55.34</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Hamilton Dome Field</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32</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57.23</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34</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58.88</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34</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47.23</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Delhi Field</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43.24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76.04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61.78</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TexMex</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17</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70.47</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15</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58.24</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Other</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57.25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pPr>
            <w:r>
              <w:rPr/>
              <w:t>—</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Total</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177</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59.18</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172</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68.42</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193</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56"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55.42</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Natural gas (MMCF)</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pPr>
            <w:r>
              <w:rPr/>
              <w:t>​</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SCOOP/STACK</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389</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4.13</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317</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4.91</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458</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56"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3.56</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Jonah Field</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675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3.45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758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4.02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728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3.38</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Williston Basin</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24</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3.28</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32</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3.89</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28</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2.46</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Barnett Shale</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801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3.87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904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3.39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925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3.21</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TexMex</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59</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1.97</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102</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3.14</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Other</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2.88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pPr>
            <w:r>
              <w:rPr/>
              <w:t>—</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Total</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1,968</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3.70</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2,011</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3.87</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2,241</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56"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3.32</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Natural gas liquids (MBBL)</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pPr>
            <w:r>
              <w:rPr/>
              <w:t>​</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SCOOP/STACK</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27</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19.01</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13</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27.84</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28</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56"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19.90</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Jonah Field</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25.50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32.14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23.10</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Williston Basin</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7</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18.47</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8</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23.74</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7</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14.13</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Barnett Shale</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28.49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33.48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25.38</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Delhi Field</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9</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23.36</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15</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37.20</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14</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23.17</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Total</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98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24.59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93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32.28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112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5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22.70</w:t>
            </w:r>
          </w:p>
        </w:tc>
      </w:tr>
      <w:tr>
        <w:trPr/>
        <w:tc>
          <w:tcPr>
            <w:tcW w:w="2821" w:type="dxa"/>
            <w:tcBorders/>
            <w:vAlign w:val="center"/>
          </w:tcPr>
          <w:p>
            <w:pPr>
              <w:pStyle w:val="TableContents"/>
              <w:bidi w:val="0"/>
              <w:spacing w:before="0" w:after="1"/>
              <w:ind w:left="0" w:right="0" w:hanging="0"/>
              <w:jc w:val="left"/>
              <w:rPr>
                <w:rFonts w:ascii="Segoe UI" w:hAnsi="Segoe UI"/>
                <w:sz w:val="14"/>
              </w:rPr>
            </w:pPr>
            <w:r>
              <w:rPr>
                <w:rFonts w:ascii="Segoe UI" w:hAnsi="Segoe UI"/>
                <w:sz w:val="14"/>
              </w:rPr>
              <w:t>Equivalent (MBOE)</w:t>
            </w:r>
            <w:r>
              <w:rPr>
                <w:rFonts w:ascii="Segoe UI" w:hAnsi="Segoe UI"/>
                <w:sz w:val="11"/>
              </w:rPr>
              <w:t>(1)</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pPr>
            <w:r>
              <w:rPr/>
              <w:t>​</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SCOOP/STACK</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119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33.66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94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41.90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134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29.37</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Chaveroo Field</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20</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63.87</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8</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56.78</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26</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53.39</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Jonah Field</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127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23.12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141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26.63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136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22.02</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Williston Basin</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39</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52.02</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47</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53.08</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43</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41.46</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Barnett Shale</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183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25.09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203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24.13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212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21.18</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Hamilton Dome Field</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32</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57.23</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34</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58.88</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34</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47.23</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Delhi Field</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39.44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73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68.19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53.30</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TexMex</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27</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49.03</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32</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37.50</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Other</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19.85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pPr>
            <w:r>
              <w:rPr/>
              <w:t>—</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Total</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603</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33.45</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600</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37.60</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679</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56"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30.46</w:t>
            </w:r>
          </w:p>
        </w:tc>
      </w:tr>
      <w:tr>
        <w:trPr/>
        <w:tc>
          <w:tcPr>
            <w:tcW w:w="2821" w:type="dxa"/>
            <w:tcBorders/>
            <w:shd w:fill="CCEEFF" w:val="clear"/>
            <w:vAlign w:val="center"/>
          </w:tcPr>
          <w:p>
            <w:pPr>
              <w:pStyle w:val="TableContents"/>
              <w:bidi w:val="0"/>
              <w:spacing w:before="0" w:after="1"/>
              <w:ind w:left="0" w:right="0" w:hanging="0"/>
              <w:jc w:val="left"/>
              <w:rPr>
                <w:rFonts w:ascii="Segoe UI" w:hAnsi="Segoe UI"/>
                <w:sz w:val="14"/>
              </w:rPr>
            </w:pPr>
            <w:r>
              <w:rPr>
                <w:rFonts w:ascii="Segoe UI" w:hAnsi="Segoe UI"/>
                <w:b/>
                <w:sz w:val="14"/>
              </w:rPr>
              <w:t>Average daily production (BOEPD)</w:t>
            </w:r>
            <w:r>
              <w:rPr>
                <w:rFonts w:ascii="Segoe UI" w:hAnsi="Segoe UI"/>
                <w:b/>
                <w:sz w:val="11"/>
              </w:rPr>
              <w:t>(1)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pPr>
            <w:r>
              <w:rPr/>
              <w:t>​</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SCOOP/STACK</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1,322</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1,044</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1,457</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pPr>
            <w:r>
              <w:rPr/>
              <w:t>​</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Chaveroo Field</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222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89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283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pPr>
            <w:r>
              <w:rPr/>
              <w:t>​</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Jonah Field</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1,411</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1,567</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1,478</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pPr>
            <w:r>
              <w:rPr/>
              <w:t>​</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Williston Basin</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433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522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467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pPr>
            <w:r>
              <w:rPr/>
              <w:t>​</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Barnett Shale</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2,033</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2,256</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2,303</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pPr>
            <w:r>
              <w:rPr/>
              <w:t>​</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Hamilton Dome Field</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356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378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370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pPr>
            <w:r>
              <w:rPr/>
              <w:t>​</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Delhi Field</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578</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811</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vAlign w:val="center"/>
          </w:tcPr>
          <w:p>
            <w:pPr>
              <w:pStyle w:val="TableContents"/>
              <w:bidi w:val="0"/>
              <w:spacing w:lineRule="auto" w:line="321" w:before="0" w:after="1"/>
              <w:ind w:left="0" w:right="0" w:hanging="0"/>
              <w:jc w:val="left"/>
              <w:rPr/>
            </w:pPr>
            <w:r>
              <w:rPr/>
              <w:t>​</w:t>
            </w:r>
          </w:p>
        </w:tc>
        <w:tc>
          <w:tcPr>
            <w:tcW w:w="545"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674</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pPr>
            <w:r>
              <w:rPr/>
              <w:t>​</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TexMex</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300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shd w:fill="CCEEFF" w:val="clear"/>
            <w:vAlign w:val="center"/>
          </w:tcPr>
          <w:p>
            <w:pPr>
              <w:pStyle w:val="TableContents"/>
              <w:bidi w:val="0"/>
              <w:spacing w:lineRule="auto" w:line="321" w:before="0" w:after="1"/>
              <w:ind w:left="0" w:right="0" w:hanging="0"/>
              <w:jc w:val="left"/>
              <w:rPr/>
            </w:pPr>
            <w:r>
              <w:rPr/>
              <w:t>​</w:t>
            </w:r>
          </w:p>
        </w:tc>
        <w:tc>
          <w:tcPr>
            <w:tcW w:w="545"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348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pPr>
            <w:r>
              <w:rPr/>
              <w:t>​</w:t>
            </w:r>
          </w:p>
        </w:tc>
      </w:tr>
      <w:tr>
        <w:trPr/>
        <w:tc>
          <w:tcPr>
            <w:tcW w:w="2821" w:type="dxa"/>
            <w:tcBorders/>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Other</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45</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pPr>
            <w:r>
              <w:rPr/>
              <w:t>​</w:t>
            </w:r>
          </w:p>
        </w:tc>
        <w:tc>
          <w:tcPr>
            <w:tcW w:w="545" w:type="dxa"/>
            <w:tcBorders>
              <w:bottom w:val="single" w:sz="2" w:space="0" w:color="000000"/>
            </w:tcBorders>
            <w:tcMar>
              <w:bottom w:w="28" w:type="dxa"/>
            </w:tcMar>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6" w:type="dxa"/>
            <w:tcBorders/>
            <w:vAlign w:val="center"/>
          </w:tcPr>
          <w:p>
            <w:pPr>
              <w:pStyle w:val="TableContents"/>
              <w:bidi w:val="0"/>
              <w:spacing w:lineRule="auto" w:line="321" w:before="0" w:after="1"/>
              <w:ind w:left="0" w:right="0" w:hanging="0"/>
              <w:jc w:val="right"/>
              <w:rPr/>
            </w:pPr>
            <w:r>
              <w:rPr/>
              <w:t>​</w:t>
            </w:r>
          </w:p>
        </w:tc>
      </w:tr>
      <w:tr>
        <w:trPr/>
        <w:tc>
          <w:tcPr>
            <w:tcW w:w="2821"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Total</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6,700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6,667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45" w:type="dxa"/>
            <w:tcBorders>
              <w:bottom w:val="double" w:sz="6"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7,380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6" w:type="dxa"/>
            <w:tcBorders/>
            <w:shd w:fill="CCEEFF" w:val="clear"/>
            <w:vAlign w:val="center"/>
          </w:tcPr>
          <w:p>
            <w:pPr>
              <w:pStyle w:val="TableContents"/>
              <w:bidi w:val="0"/>
              <w:spacing w:lineRule="auto" w:line="321" w:before="0" w:after="1"/>
              <w:ind w:left="0" w:right="0" w:hanging="0"/>
              <w:jc w:val="right"/>
              <w:rPr/>
            </w:pPr>
            <w:r>
              <w:rPr/>
              <w:t>​</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Segoe UI" w:hAnsi="Segoe UI"/>
                <w:sz w:val="16"/>
              </w:rPr>
            </w:pPr>
            <w:r>
              <w:rPr>
                <w:rFonts w:ascii="Segoe UI" w:hAnsi="Segoe UI"/>
                <w:sz w:val="16"/>
              </w:rPr>
              <w:t>(1)</w:t>
            </w:r>
          </w:p>
        </w:tc>
        <w:tc>
          <w:tcPr>
            <w:tcW w:w="9998" w:type="dxa"/>
            <w:tcBorders/>
            <w:vAlign w:val="center"/>
          </w:tcPr>
          <w:p>
            <w:pPr>
              <w:pStyle w:val="TableContents"/>
              <w:bidi w:val="0"/>
              <w:spacing w:before="0" w:after="283"/>
              <w:jc w:val="left"/>
              <w:rPr>
                <w:rFonts w:ascii="Segoe UI" w:hAnsi="Segoe UI"/>
                <w:b w:val="false"/>
                <w:i w:val="false"/>
                <w:caps w:val="false"/>
                <w:smallCaps w:val="false"/>
                <w:sz w:val="16"/>
              </w:rPr>
            </w:pPr>
            <w:r>
              <w:rPr>
                <w:rFonts w:ascii="Segoe UI" w:hAnsi="Segoe UI"/>
                <w:b w:val="false"/>
                <w:i w:val="false"/>
                <w:caps w:val="false"/>
                <w:smallCaps w:val="false"/>
                <w:sz w:val="16"/>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p>
      <w:pPr>
        <w:pStyle w:val="TextBody"/>
        <w:bidi w:val="0"/>
        <w:spacing w:lineRule="auto" w:line="285" w:before="0" w:after="0"/>
        <w:ind w:left="0" w:right="0" w:hanging="0"/>
        <w:jc w:val="center"/>
        <w:rPr>
          <w:rFonts w:ascii="Segoe UI" w:hAnsi="Segoe UI"/>
          <w:sz w:val="22"/>
        </w:rPr>
      </w:pPr>
      <w:r>
        <w:rPr>
          <w:rFonts w:ascii="Segoe UI" w:hAnsi="Segoe UI"/>
          <w:sz w:val="22"/>
        </w:rPr>
        <w:t>13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pPr>
      <w:r>
        <w:rPr/>
        <w:t>​</w:t>
      </w:r>
    </w:p>
    <w:p>
      <w:pPr>
        <w:pStyle w:val="TextBody"/>
        <w:bidi w:val="0"/>
        <w:spacing w:lineRule="auto" w:line="321" w:before="100" w:after="0"/>
        <w:ind w:left="0" w:right="0" w:hanging="0"/>
        <w:jc w:val="center"/>
        <w:rPr>
          <w:rFonts w:ascii="Segoe UI Semibold" w:hAnsi="Segoe UI Semibold"/>
          <w:sz w:val="22"/>
        </w:rPr>
      </w:pPr>
      <w:r>
        <w:rPr>
          <w:rFonts w:ascii="Segoe UI Semibold" w:hAnsi="Segoe UI Semibold"/>
          <w:sz w:val="22"/>
        </w:rPr>
        <w:t>Evolution Petroleum Corporation</w:t>
      </w:r>
    </w:p>
    <w:p>
      <w:pPr>
        <w:pStyle w:val="TextBody"/>
        <w:bidi w:val="0"/>
        <w:spacing w:lineRule="auto" w:line="321" w:before="0" w:after="240"/>
        <w:ind w:left="0" w:right="0" w:hanging="0"/>
        <w:jc w:val="center"/>
        <w:rPr>
          <w:rFonts w:ascii="Segoe UI Semibold" w:hAnsi="Segoe UI Semibold"/>
          <w:sz w:val="22"/>
        </w:rPr>
      </w:pPr>
      <w:r>
        <w:rPr>
          <w:rFonts w:ascii="Segoe UI Semibold" w:hAnsi="Segoe UI Semibold"/>
          <w:sz w:val="22"/>
        </w:rPr>
        <w:t>Summary of Average Production Costs (Unaudited)</w:t>
      </w:r>
    </w:p>
    <w:tbl>
      <w:tblPr>
        <w:tblW w:w="10205" w:type="dxa"/>
        <w:jc w:val="left"/>
        <w:tblInd w:w="0" w:type="dxa"/>
        <w:tblLayout w:type="fixed"/>
        <w:tblCellMar>
          <w:top w:w="0" w:type="dxa"/>
          <w:left w:w="0" w:type="dxa"/>
          <w:bottom w:w="0" w:type="dxa"/>
          <w:right w:w="0" w:type="dxa"/>
        </w:tblCellMar>
      </w:tblPr>
      <w:tblGrid>
        <w:gridCol w:w="3032"/>
        <w:gridCol w:w="346"/>
        <w:gridCol w:w="211"/>
        <w:gridCol w:w="676"/>
        <w:gridCol w:w="346"/>
        <w:gridCol w:w="211"/>
        <w:gridCol w:w="571"/>
        <w:gridCol w:w="346"/>
        <w:gridCol w:w="211"/>
        <w:gridCol w:w="676"/>
        <w:gridCol w:w="346"/>
        <w:gridCol w:w="211"/>
        <w:gridCol w:w="571"/>
        <w:gridCol w:w="346"/>
        <w:gridCol w:w="211"/>
        <w:gridCol w:w="676"/>
        <w:gridCol w:w="346"/>
        <w:gridCol w:w="211"/>
        <w:gridCol w:w="661"/>
      </w:tblGrid>
      <w:tr>
        <w:trPr/>
        <w:tc>
          <w:tcPr>
            <w:tcW w:w="3032"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29260" cy="175260"/>
                      <wp:effectExtent l="0" t="0" r="0" b="0"/>
                      <wp:wrapNone/>
                      <wp:docPr id="122" name="Frame1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62585" cy="175260"/>
                      <wp:effectExtent l="0" t="0" r="0" b="0"/>
                      <wp:wrapNone/>
                      <wp:docPr id="125" name="Frame12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29260" cy="175260"/>
                      <wp:effectExtent l="0" t="0" r="0" b="0"/>
                      <wp:wrapNone/>
                      <wp:docPr id="128" name="Frame1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62585" cy="175260"/>
                      <wp:effectExtent l="0" t="0" r="0" b="0"/>
                      <wp:wrapNone/>
                      <wp:docPr id="131" name="Frame13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29260" cy="175260"/>
                      <wp:effectExtent l="0" t="0" r="0" b="0"/>
                      <wp:wrapNone/>
                      <wp:docPr id="134" name="Frame13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19735" cy="175260"/>
                      <wp:effectExtent l="0" t="0" r="0" b="0"/>
                      <wp:wrapNone/>
                      <wp:docPr id="137" name="Frame13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r>
      <w:tr>
        <w:trPr/>
        <w:tc>
          <w:tcPr>
            <w:tcW w:w="3032"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6827" w:type="dxa"/>
            <w:gridSpan w:val="17"/>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Three Months Ended</w:t>
            </w:r>
          </w:p>
        </w:tc>
      </w:tr>
      <w:tr>
        <w:trPr/>
        <w:tc>
          <w:tcPr>
            <w:tcW w:w="3032"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4376" w:type="dxa"/>
            <w:gridSpan w:val="11"/>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March 31, </w:t>
            </w:r>
          </w:p>
        </w:tc>
        <w:tc>
          <w:tcPr>
            <w:tcW w:w="346" w:type="dxa"/>
            <w:tcBorders/>
            <w:vAlign w:val="center"/>
          </w:tcPr>
          <w:p>
            <w:pPr>
              <w:pStyle w:val="TableContents"/>
              <w:bidi w:val="0"/>
              <w:spacing w:lineRule="auto" w:line="321" w:before="0" w:after="1"/>
              <w:ind w:left="0" w:right="0" w:hanging="0"/>
              <w:jc w:val="center"/>
              <w:rPr/>
            </w:pPr>
            <w:r>
              <w:rPr/>
              <w:t>​</w:t>
            </w:r>
          </w:p>
        </w:tc>
        <w:tc>
          <w:tcPr>
            <w:tcW w:w="2105"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December 31,</w:t>
            </w:r>
          </w:p>
        </w:tc>
      </w:tr>
      <w:tr>
        <w:trPr/>
        <w:tc>
          <w:tcPr>
            <w:tcW w:w="3032"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2026</w:t>
            </w:r>
          </w:p>
        </w:tc>
        <w:tc>
          <w:tcPr>
            <w:tcW w:w="346" w:type="dxa"/>
            <w:tcBorders/>
            <w:vAlign w:val="center"/>
          </w:tcPr>
          <w:p>
            <w:pPr>
              <w:pStyle w:val="TableContents"/>
              <w:bidi w:val="0"/>
              <w:spacing w:lineRule="auto" w:line="321" w:before="0" w:after="1"/>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c>
          <w:tcPr>
            <w:tcW w:w="346" w:type="dxa"/>
            <w:tcBorders/>
            <w:vAlign w:val="center"/>
          </w:tcPr>
          <w:p>
            <w:pPr>
              <w:pStyle w:val="TableContents"/>
              <w:bidi w:val="0"/>
              <w:spacing w:lineRule="auto" w:line="321" w:before="0" w:after="1"/>
              <w:ind w:left="0" w:right="0" w:hanging="0"/>
              <w:jc w:val="left"/>
              <w:rPr/>
            </w:pPr>
            <w:r>
              <w:rPr/>
              <w:t>​</w:t>
            </w:r>
          </w:p>
        </w:tc>
        <w:tc>
          <w:tcPr>
            <w:tcW w:w="2105" w:type="dxa"/>
            <w:gridSpan w:val="5"/>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2025</w:t>
            </w:r>
          </w:p>
        </w:tc>
      </w:tr>
      <w:tr>
        <w:trPr/>
        <w:tc>
          <w:tcPr>
            <w:tcW w:w="3032"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Amount</w:t>
            </w:r>
          </w:p>
        </w:tc>
        <w:tc>
          <w:tcPr>
            <w:tcW w:w="346" w:type="dxa"/>
            <w:tcBorders/>
            <w:vAlign w:val="center"/>
          </w:tcPr>
          <w:p>
            <w:pPr>
              <w:pStyle w:val="TableContents"/>
              <w:bidi w:val="0"/>
              <w:spacing w:lineRule="auto" w:line="321"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Price</w:t>
            </w:r>
          </w:p>
        </w:tc>
        <w:tc>
          <w:tcPr>
            <w:tcW w:w="346" w:type="dxa"/>
            <w:tcBorders/>
            <w:vAlign w:val="center"/>
          </w:tcPr>
          <w:p>
            <w:pPr>
              <w:pStyle w:val="TableContents"/>
              <w:bidi w:val="0"/>
              <w:spacing w:lineRule="auto" w:line="321"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Amount</w:t>
            </w:r>
          </w:p>
        </w:tc>
        <w:tc>
          <w:tcPr>
            <w:tcW w:w="346" w:type="dxa"/>
            <w:tcBorders/>
            <w:vAlign w:val="center"/>
          </w:tcPr>
          <w:p>
            <w:pPr>
              <w:pStyle w:val="TableContents"/>
              <w:bidi w:val="0"/>
              <w:spacing w:lineRule="auto" w:line="321"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Price</w:t>
            </w:r>
          </w:p>
        </w:tc>
        <w:tc>
          <w:tcPr>
            <w:tcW w:w="346" w:type="dxa"/>
            <w:tcBorders/>
            <w:vAlign w:val="center"/>
          </w:tcPr>
          <w:p>
            <w:pPr>
              <w:pStyle w:val="TableContents"/>
              <w:bidi w:val="0"/>
              <w:spacing w:lineRule="auto" w:line="321"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Amount</w:t>
            </w:r>
          </w:p>
        </w:tc>
        <w:tc>
          <w:tcPr>
            <w:tcW w:w="346" w:type="dxa"/>
            <w:tcBorders/>
            <w:vAlign w:val="center"/>
          </w:tcPr>
          <w:p>
            <w:pPr>
              <w:pStyle w:val="TableContents"/>
              <w:bidi w:val="0"/>
              <w:spacing w:lineRule="auto" w:line="321" w:before="0" w:after="1"/>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6"/>
              </w:rPr>
            </w:pPr>
            <w:r>
              <w:rPr>
                <w:rFonts w:ascii="Segoe UI" w:hAnsi="Segoe UI"/>
                <w:b/>
                <w:sz w:val="16"/>
              </w:rPr>
              <w:t>Price</w:t>
            </w:r>
          </w:p>
        </w:tc>
      </w:tr>
      <w:tr>
        <w:trPr/>
        <w:tc>
          <w:tcPr>
            <w:tcW w:w="3032" w:type="dxa"/>
            <w:tcBorders/>
            <w:vAlign w:val="center"/>
          </w:tcPr>
          <w:p>
            <w:pPr>
              <w:pStyle w:val="TableContents"/>
              <w:bidi w:val="0"/>
              <w:spacing w:lineRule="auto" w:line="321" w:before="0" w:after="1"/>
              <w:ind w:left="0" w:right="0" w:hanging="0"/>
              <w:jc w:val="left"/>
              <w:rPr>
                <w:rFonts w:ascii="Segoe UI" w:hAnsi="Segoe UI"/>
                <w:b/>
                <w:sz w:val="16"/>
              </w:rPr>
            </w:pPr>
            <w:r>
              <w:rPr>
                <w:rFonts w:ascii="Segoe UI" w:hAnsi="Segoe UI"/>
                <w:b/>
                <w:sz w:val="16"/>
              </w:rPr>
              <w:t>Production costs (in thousands, except per BOE):</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571" w:type="dxa"/>
            <w:tcBorders/>
            <w:vAlign w:val="center"/>
          </w:tcPr>
          <w:p>
            <w:pPr>
              <w:pStyle w:val="TableContents"/>
              <w:bidi w:val="0"/>
              <w:spacing w:lineRule="auto" w:line="321" w:before="0" w:after="1"/>
              <w:ind w:left="0" w:right="0" w:hanging="0"/>
              <w:jc w:val="righ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571"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1" w:type="dxa"/>
            <w:tcBorders/>
            <w:vAlign w:val="center"/>
          </w:tcPr>
          <w:p>
            <w:pPr>
              <w:pStyle w:val="TableContents"/>
              <w:bidi w:val="0"/>
              <w:spacing w:lineRule="auto" w:line="321" w:before="0" w:after="1"/>
              <w:ind w:left="0" w:right="0" w:hanging="0"/>
              <w:jc w:val="left"/>
              <w:rPr/>
            </w:pPr>
            <w:r>
              <w:rPr/>
              <w:t>​</w:t>
            </w:r>
          </w:p>
        </w:tc>
      </w:tr>
      <w:tr>
        <w:trPr/>
        <w:tc>
          <w:tcPr>
            <w:tcW w:w="3032" w:type="dxa"/>
            <w:tcBorders/>
            <w:shd w:fill="CCEEFF" w:val="clear"/>
            <w:vAlign w:val="center"/>
          </w:tcPr>
          <w:p>
            <w:pPr>
              <w:pStyle w:val="TableContents"/>
              <w:bidi w:val="0"/>
              <w:spacing w:before="0" w:after="1"/>
              <w:ind w:left="0" w:right="0" w:hanging="0"/>
              <w:jc w:val="left"/>
              <w:rPr>
                <w:rFonts w:ascii="Segoe UI" w:hAnsi="Segoe UI"/>
                <w:sz w:val="16"/>
              </w:rPr>
            </w:pPr>
            <w:r>
              <w:rPr>
                <w:rFonts w:ascii="Segoe UI" w:hAnsi="Segoe UI"/>
                <w:sz w:val="16"/>
              </w:rPr>
              <w:t>Total lease operating costs</w:t>
            </w:r>
            <w:r>
              <w:rPr>
                <w:rFonts w:ascii="Segoe UI" w:hAnsi="Segoe UI"/>
                <w:sz w:val="12"/>
              </w:rPr>
              <w:t>(1)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571"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571"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1" w:type="dxa"/>
            <w:tcBorders/>
            <w:shd w:fill="CCEEFF" w:val="clear"/>
            <w:vAlign w:val="center"/>
          </w:tcPr>
          <w:p>
            <w:pPr>
              <w:pStyle w:val="TableContents"/>
              <w:bidi w:val="0"/>
              <w:spacing w:lineRule="auto" w:line="321" w:before="0" w:after="1"/>
              <w:ind w:left="0" w:right="0" w:hanging="0"/>
              <w:jc w:val="left"/>
              <w:rPr/>
            </w:pPr>
            <w:r>
              <w:rPr/>
              <w:t>​</w:t>
            </w:r>
          </w:p>
        </w:tc>
      </w:tr>
      <w:tr>
        <w:trPr/>
        <w:tc>
          <w:tcPr>
            <w:tcW w:w="303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SCOOP/STACK</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1,064</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57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8.96</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1,106</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57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11.74</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1,040</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7.72</w:t>
            </w:r>
          </w:p>
        </w:tc>
      </w:tr>
      <w:tr>
        <w:trPr/>
        <w:tc>
          <w:tcPr>
            <w:tcW w:w="3032"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Chaveroo Field</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center"/>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320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center"/>
              <w:rPr/>
            </w:pPr>
            <w:r>
              <w:rPr/>
              <w:t>​</w:t>
            </w:r>
          </w:p>
        </w:tc>
        <w:tc>
          <w:tcPr>
            <w:tcW w:w="57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15.92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center"/>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128</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center"/>
              <w:rPr/>
            </w:pPr>
            <w:r>
              <w:rPr/>
              <w:t>​</w:t>
            </w:r>
          </w:p>
        </w:tc>
        <w:tc>
          <w:tcPr>
            <w:tcW w:w="57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15.77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center"/>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311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center"/>
              <w:rPr/>
            </w:pPr>
            <w:r>
              <w:rPr/>
              <w:t>​</w:t>
            </w:r>
          </w:p>
        </w:tc>
        <w:tc>
          <w:tcPr>
            <w:tcW w:w="66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12.07</w:t>
            </w:r>
          </w:p>
        </w:tc>
      </w:tr>
      <w:tr>
        <w:trPr/>
        <w:tc>
          <w:tcPr>
            <w:tcW w:w="303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Jonah Field</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2,047</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57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16.21</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2,184</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57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15.51</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1,998</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14.68</w:t>
            </w:r>
          </w:p>
        </w:tc>
      </w:tr>
      <w:tr>
        <w:trPr/>
        <w:tc>
          <w:tcPr>
            <w:tcW w:w="3032"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Williston Basin</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1,162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57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30.09</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1,476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57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31.45</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1,296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30.29</w:t>
            </w:r>
          </w:p>
        </w:tc>
      </w:tr>
      <w:tr>
        <w:trPr/>
        <w:tc>
          <w:tcPr>
            <w:tcW w:w="303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Barnett Shale</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3,747</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57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20.49</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3,739</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57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18.47</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2,937</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13.98</w:t>
            </w:r>
          </w:p>
        </w:tc>
      </w:tr>
      <w:tr>
        <w:trPr/>
        <w:tc>
          <w:tcPr>
            <w:tcW w:w="3032"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Hamilton Dome Field</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1,226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57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37.73</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1,237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57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36.36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76"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1,200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shd w:fill="CCEEFF" w:val="clear"/>
            <w:vAlign w:val="center"/>
          </w:tcPr>
          <w:p>
            <w:pPr>
              <w:pStyle w:val="TableContents"/>
              <w:bidi w:val="0"/>
              <w:spacing w:lineRule="auto" w:line="321" w:before="0" w:after="1"/>
              <w:ind w:left="0" w:right="0" w:hanging="0"/>
              <w:jc w:val="left"/>
              <w:rPr/>
            </w:pPr>
            <w:r>
              <w:rPr/>
              <w:t>​</w:t>
            </w:r>
          </w:p>
        </w:tc>
        <w:tc>
          <w:tcPr>
            <w:tcW w:w="661" w:type="dxa"/>
            <w:tcBorders/>
            <w:shd w:fill="CCEEFF" w:val="cle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35.56</w:t>
            </w:r>
          </w:p>
        </w:tc>
      </w:tr>
      <w:tr>
        <w:trPr/>
        <w:tc>
          <w:tcPr>
            <w:tcW w:w="303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Delhi Field</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1,836</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57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34.13</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3,518</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57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48.04</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76"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1,506</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vAlign w:val="center"/>
          </w:tcPr>
          <w:p>
            <w:pPr>
              <w:pStyle w:val="TableContents"/>
              <w:bidi w:val="0"/>
              <w:spacing w:lineRule="auto" w:line="321" w:before="0" w:after="1"/>
              <w:ind w:left="0" w:right="0" w:hanging="0"/>
              <w:jc w:val="left"/>
              <w:rPr/>
            </w:pPr>
            <w:r>
              <w:rPr/>
              <w:t>​</w:t>
            </w:r>
          </w:p>
        </w:tc>
        <w:tc>
          <w:tcPr>
            <w:tcW w:w="661" w:type="dxa"/>
            <w:tcBorders/>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24.26</w:t>
            </w:r>
          </w:p>
        </w:tc>
      </w:tr>
      <w:tr>
        <w:trPr/>
        <w:tc>
          <w:tcPr>
            <w:tcW w:w="3032" w:type="dxa"/>
            <w:tcBorders/>
            <w:shd w:fill="CCEEFF" w:val="cle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TexMex</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1,557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57.61</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1,222</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38.03</w:t>
            </w:r>
          </w:p>
        </w:tc>
      </w:tr>
      <w:tr>
        <w:trPr/>
        <w:tc>
          <w:tcPr>
            <w:tcW w:w="3032" w:type="dxa"/>
            <w:tcBorders/>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Total</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12,959</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57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21.49</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13,388</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571"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22.32</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76" w:type="dxa"/>
            <w:tcBorders>
              <w:bottom w:val="double" w:sz="6" w:space="0" w:color="000000"/>
            </w:tcBorders>
            <w:tcMar>
              <w:bottom w:w="28" w:type="dxa"/>
            </w:tcMar>
            <w:vAlign w:val="center"/>
          </w:tcPr>
          <w:p>
            <w:pPr>
              <w:pStyle w:val="TableContents"/>
              <w:bidi w:val="0"/>
              <w:spacing w:lineRule="auto" w:line="321" w:before="0" w:after="1"/>
              <w:ind w:left="0" w:right="0" w:hanging="0"/>
              <w:jc w:val="right"/>
              <w:rPr>
                <w:rFonts w:ascii="Segoe UI" w:hAnsi="Segoe UI"/>
                <w:sz w:val="16"/>
              </w:rPr>
            </w:pPr>
            <w:r>
              <w:rPr>
                <w:rFonts w:ascii="Segoe UI" w:hAnsi="Segoe UI"/>
                <w:sz w:val="16"/>
              </w:rPr>
              <w:t>11,510</w:t>
            </w:r>
          </w:p>
        </w:tc>
        <w:tc>
          <w:tcPr>
            <w:tcW w:w="346" w:type="dxa"/>
            <w:tcBorders/>
            <w:vAlign w:val="center"/>
          </w:tcPr>
          <w:p>
            <w:pPr>
              <w:pStyle w:val="TableContents"/>
              <w:bidi w:val="0"/>
              <w:spacing w:lineRule="auto" w:line="321"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21" w:before="0" w:after="1"/>
              <w:ind w:left="0" w:right="0" w:hanging="0"/>
              <w:jc w:val="left"/>
              <w:rPr>
                <w:rFonts w:ascii="Segoe UI" w:hAnsi="Segoe UI"/>
                <w:sz w:val="16"/>
              </w:rPr>
            </w:pPr>
            <w:r>
              <w:rPr>
                <w:rFonts w:ascii="Segoe UI" w:hAnsi="Segoe UI"/>
                <w:sz w:val="16"/>
              </w:rPr>
              <w:t>$</w:t>
            </w:r>
          </w:p>
        </w:tc>
        <w:tc>
          <w:tcPr>
            <w:tcW w:w="661" w:type="dxa"/>
            <w:tcBorders>
              <w:bottom w:val="double" w:sz="6" w:space="0" w:color="000000"/>
            </w:tcBorders>
            <w:tcMar>
              <w:bottom w:w="28" w:type="dxa"/>
            </w:tcMar>
            <w:vAlign w:val="center"/>
          </w:tcPr>
          <w:p>
            <w:pPr>
              <w:pStyle w:val="TableContents"/>
              <w:bidi w:val="0"/>
              <w:spacing w:lineRule="auto" w:line="321" w:before="0" w:after="1"/>
              <w:ind w:left="0" w:right="45" w:hanging="0"/>
              <w:jc w:val="right"/>
              <w:rPr>
                <w:rFonts w:ascii="Segoe UI" w:hAnsi="Segoe UI"/>
                <w:sz w:val="16"/>
              </w:rPr>
            </w:pPr>
            <w:r>
              <w:rPr>
                <w:rFonts w:ascii="Segoe UI" w:hAnsi="Segoe UI"/>
                <w:sz w:val="16"/>
              </w:rPr>
              <w:t>16.96</w:t>
            </w:r>
          </w:p>
        </w:tc>
      </w:tr>
    </w:tbl>
    <w:p>
      <w:pPr>
        <w:pStyle w:val="TextBody"/>
        <w:bidi w:val="0"/>
        <w:spacing w:lineRule="auto" w:line="321" w:before="0" w:after="0"/>
        <w:ind w:left="0" w:right="0" w:hanging="0"/>
        <w:jc w:val="left"/>
        <w:rPr/>
      </w:pPr>
      <w:r>
        <w:rPr/>
        <w:t>​</w:t>
      </w:r>
    </w:p>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Segoe UI" w:hAnsi="Segoe UI"/>
                <w:sz w:val="16"/>
              </w:rPr>
            </w:pPr>
            <w:r>
              <w:rPr>
                <w:rFonts w:ascii="Segoe UI" w:hAnsi="Segoe UI"/>
                <w:sz w:val="16"/>
              </w:rPr>
              <w:t>(1)</w:t>
            </w:r>
          </w:p>
        </w:tc>
        <w:tc>
          <w:tcPr>
            <w:tcW w:w="9967" w:type="dxa"/>
            <w:tcBorders/>
            <w:vAlign w:val="center"/>
          </w:tcPr>
          <w:p>
            <w:pPr>
              <w:pStyle w:val="TableContents"/>
              <w:bidi w:val="0"/>
              <w:spacing w:before="0" w:after="283"/>
              <w:jc w:val="left"/>
              <w:rPr>
                <w:rFonts w:ascii="Segoe UI" w:hAnsi="Segoe UI"/>
                <w:b w:val="false"/>
                <w:i w:val="false"/>
                <w:caps w:val="false"/>
                <w:smallCaps w:val="false"/>
                <w:sz w:val="16"/>
              </w:rPr>
            </w:pPr>
            <w:r>
              <w:rPr>
                <w:rFonts w:ascii="Segoe UI" w:hAnsi="Segoe UI"/>
                <w:b w:val="false"/>
                <w:i w:val="false"/>
                <w:caps w:val="false"/>
                <w:smallCaps w:val="false"/>
                <w:sz w:val="16"/>
              </w:rPr>
              <w:t>Total lease operating costs includes lifting costs; workover expenses; and gathering, transportation, processing and other expenses.</w:t>
            </w:r>
          </w:p>
        </w:tc>
      </w:tr>
    </w:tbl>
    <w:p>
      <w:pPr>
        <w:pStyle w:val="TextBody"/>
        <w:bidi w:val="0"/>
        <w:spacing w:lineRule="auto" w:line="321" w:before="100" w:after="0"/>
        <w:ind w:left="0" w:right="0" w:hanging="0"/>
        <w:jc w:val="center"/>
        <w:rPr/>
      </w:pPr>
      <w:r>
        <w:rPr/>
        <w:t>​</w:t>
      </w:r>
    </w:p>
    <w:p>
      <w:pPr>
        <w:pStyle w:val="TextBody"/>
        <w:bidi w:val="0"/>
        <w:spacing w:lineRule="auto" w:line="321" w:before="100" w:after="0"/>
        <w:ind w:left="0" w:right="0" w:hanging="0"/>
        <w:jc w:val="center"/>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Segoe UI" w:hAnsi="Segoe UI"/>
          <w:sz w:val="22"/>
        </w:rPr>
      </w:pPr>
      <w:r>
        <w:rPr>
          <w:rFonts w:ascii="Segoe UI" w:hAnsi="Segoe UI"/>
          <w:sz w:val="22"/>
        </w:rPr>
        <w:t>14</w:t>
      </w:r>
    </w:p>
    <w:p>
      <w:pPr>
        <w:pStyle w:val="HorizontalLine"/>
        <w:pBdr>
          <w:bottom w:val="double" w:sz="2" w:space="0" w:color="808080"/>
        </w:pBdr>
        <w:bidi w:val="0"/>
        <w:spacing w:before="0" w:after="283"/>
        <w:jc w:val="left"/>
        <w:rPr/>
      </w:pPr>
      <w:r>
        <w:rPr/>
      </w:r>
    </w:p>
    <w:p>
      <w:pPr>
        <w:pStyle w:val="TextBody"/>
        <w:bidi w:val="0"/>
        <w:spacing w:lineRule="auto" w:line="321" w:before="0" w:after="0"/>
        <w:ind w:left="0" w:right="0" w:hanging="0"/>
        <w:jc w:val="center"/>
        <w:rPr>
          <w:rFonts w:ascii="Segoe UI Semibold" w:hAnsi="Segoe UI Semibold"/>
          <w:sz w:val="22"/>
        </w:rPr>
      </w:pPr>
      <w:r>
        <w:rPr>
          <w:rFonts w:ascii="Segoe UI Semibold" w:hAnsi="Segoe UI Semibold"/>
          <w:sz w:val="22"/>
        </w:rPr>
        <w:t>Evolution Petroleum Corporation</w:t>
      </w:r>
    </w:p>
    <w:p>
      <w:pPr>
        <w:pStyle w:val="TextBody"/>
        <w:bidi w:val="0"/>
        <w:spacing w:lineRule="auto" w:line="302" w:before="0" w:after="100"/>
        <w:ind w:left="0" w:right="0" w:hanging="0"/>
        <w:jc w:val="center"/>
        <w:rPr>
          <w:rFonts w:ascii="Segoe UI Semibold" w:hAnsi="Segoe UI Semibold"/>
          <w:sz w:val="22"/>
        </w:rPr>
      </w:pPr>
      <w:r>
        <w:rPr>
          <w:rFonts w:ascii="Segoe UI Semibold" w:hAnsi="Segoe UI Semibold"/>
          <w:sz w:val="22"/>
        </w:rPr>
        <w:t>Summary of Open Derivative Contracts (Unaudited)</w:t>
      </w:r>
    </w:p>
    <w:p>
      <w:pPr>
        <w:pStyle w:val="TextBody"/>
        <w:bidi w:val="0"/>
        <w:spacing w:lineRule="auto" w:line="304" w:before="100" w:after="100"/>
        <w:ind w:left="0" w:right="0" w:hanging="0"/>
        <w:jc w:val="both"/>
        <w:rPr>
          <w:rFonts w:ascii="Segoe UI" w:hAnsi="Segoe UI"/>
          <w:sz w:val="22"/>
        </w:rPr>
      </w:pPr>
      <w:r>
        <w:rPr>
          <w:rFonts w:ascii="Segoe UI" w:hAnsi="Segoe UI"/>
          <w:sz w:val="22"/>
        </w:rPr>
        <w:t>For more information on the Company's hedging practices, see Note 7 to its financial statements included on Form 10-Q filed with the SEC for the quarter ended March 31, 2026.</w:t>
      </w:r>
    </w:p>
    <w:p>
      <w:pPr>
        <w:pStyle w:val="TextBody"/>
        <w:bidi w:val="0"/>
        <w:spacing w:lineRule="auto" w:line="321" w:before="100" w:after="100"/>
        <w:ind w:left="0" w:right="0" w:hanging="0"/>
        <w:jc w:val="both"/>
        <w:rPr>
          <w:rFonts w:ascii="Segoe UI" w:hAnsi="Segoe UI"/>
          <w:sz w:val="22"/>
        </w:rPr>
      </w:pPr>
      <w:r>
        <w:rPr>
          <w:rFonts w:ascii="Segoe UI" w:hAnsi="Segoe UI"/>
          <w:sz w:val="22"/>
        </w:rPr>
        <w:t>The Company has the following open crude oil and natural gas derivative contracts:</w:t>
      </w:r>
    </w:p>
    <w:tbl>
      <w:tblPr>
        <w:tblW w:w="10205" w:type="dxa"/>
        <w:jc w:val="left"/>
        <w:tblInd w:w="0" w:type="dxa"/>
        <w:tblLayout w:type="fixed"/>
        <w:tblCellMar>
          <w:top w:w="0" w:type="dxa"/>
          <w:left w:w="0" w:type="dxa"/>
          <w:bottom w:w="0" w:type="dxa"/>
          <w:right w:w="0" w:type="dxa"/>
        </w:tblCellMar>
      </w:tblPr>
      <w:tblGrid>
        <w:gridCol w:w="2180"/>
        <w:gridCol w:w="346"/>
        <w:gridCol w:w="957"/>
        <w:gridCol w:w="346"/>
        <w:gridCol w:w="1211"/>
        <w:gridCol w:w="346"/>
        <w:gridCol w:w="970"/>
        <w:gridCol w:w="109"/>
        <w:gridCol w:w="196"/>
        <w:gridCol w:w="511"/>
        <w:gridCol w:w="346"/>
        <w:gridCol w:w="213"/>
        <w:gridCol w:w="558"/>
        <w:gridCol w:w="346"/>
        <w:gridCol w:w="196"/>
        <w:gridCol w:w="511"/>
        <w:gridCol w:w="109"/>
        <w:gridCol w:w="196"/>
        <w:gridCol w:w="558"/>
      </w:tblGrid>
      <w:tr>
        <w:trPr/>
        <w:tc>
          <w:tcPr>
            <w:tcW w:w="2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84300" cy="175260"/>
                      <wp:effectExtent l="0" t="0" r="0" b="0"/>
                      <wp:wrapNone/>
                      <wp:docPr id="138" name="Frame137"/>
                      <a:graphic xmlns:a="http://schemas.openxmlformats.org/drawingml/2006/main">
                        <a:graphicData uri="http://schemas.microsoft.com/office/word/2010/wordprocessingShape">
                          <wps:wsp>
                            <wps:cNvSpPr txBox="1"/>
                            <wps:spPr>
                              <a:xfrm>
                                <a:off x="0" y="0"/>
                                <a:ext cx="138430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07695" cy="175260"/>
                      <wp:effectExtent l="0" t="0" r="0" b="0"/>
                      <wp:wrapNone/>
                      <wp:docPr id="140" name="Frame139"/>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768985" cy="175260"/>
                      <wp:effectExtent l="0" t="0" r="0" b="0"/>
                      <wp:wrapNone/>
                      <wp:docPr id="142" name="Frame141"/>
                      <a:graphic xmlns:a="http://schemas.openxmlformats.org/drawingml/2006/main">
                        <a:graphicData uri="http://schemas.microsoft.com/office/word/2010/wordprocessingShape">
                          <wps:wsp>
                            <wps:cNvSpPr txBox="1"/>
                            <wps:spPr>
                              <a:xfrm>
                                <a:off x="0" y="0"/>
                                <a:ext cx="7689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15950" cy="175260"/>
                      <wp:effectExtent l="0" t="0" r="0" b="0"/>
                      <wp:wrapNone/>
                      <wp:docPr id="144" name="Frame143"/>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24460" cy="175260"/>
                      <wp:effectExtent l="0" t="0" r="0" b="0"/>
                      <wp:wrapNone/>
                      <wp:docPr id="146" name="Frame1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24485" cy="175260"/>
                      <wp:effectExtent l="0" t="0" r="0" b="0"/>
                      <wp:wrapNone/>
                      <wp:docPr id="147" name="Frame14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5255" cy="175260"/>
                      <wp:effectExtent l="0" t="0" r="0" b="0"/>
                      <wp:wrapNone/>
                      <wp:docPr id="149" name="Frame14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54330" cy="175260"/>
                      <wp:effectExtent l="0" t="0" r="0" b="0"/>
                      <wp:wrapNone/>
                      <wp:docPr id="150" name="Frame149"/>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24460" cy="175260"/>
                      <wp:effectExtent l="0" t="0" r="0" b="0"/>
                      <wp:wrapNone/>
                      <wp:docPr id="152" name="Frame1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24485" cy="175260"/>
                      <wp:effectExtent l="0" t="0" r="0" b="0"/>
                      <wp:wrapNone/>
                      <wp:docPr id="153" name="Frame15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9215" cy="175260"/>
                      <wp:effectExtent l="0" t="0" r="0" b="0"/>
                      <wp:wrapNone/>
                      <wp:docPr id="154" name="Frame1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24460" cy="175260"/>
                      <wp:effectExtent l="0" t="0" r="0" b="0"/>
                      <wp:wrapNone/>
                      <wp:docPr id="155" name="Frame1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54330" cy="175260"/>
                      <wp:effectExtent l="0" t="0" r="0" b="0"/>
                      <wp:wrapNone/>
                      <wp:docPr id="156" name="Frame155"/>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lineRule="auto" w:line="321"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1" w:before="0" w:after="1"/>
                              <w:ind w:left="0" w:right="0" w:hanging="0"/>
                              <w:jc w:val="left"/>
                              <w:rPr/>
                            </w:pPr>
                            <w:r>
                              <w:rPr/>
                              <w:t>​</w:t>
                            </w:r>
                          </w:p>
                        </w:txbxContent>
                      </v:textbox>
                      <w10:wrap type="none"/>
                    </v:rect>
                  </w:pict>
                </mc:Fallback>
              </mc:AlternateContent>
            </w:r>
          </w:p>
        </w:tc>
      </w:tr>
      <w:tr>
        <w:trPr/>
        <w:tc>
          <w:tcPr>
            <w:tcW w:w="2180"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957" w:type="dxa"/>
            <w:tcBorders/>
            <w:vAlign w:val="center"/>
          </w:tcPr>
          <w:p>
            <w:pPr>
              <w:pStyle w:val="TableContents"/>
              <w:bidi w:val="0"/>
              <w:spacing w:lineRule="auto" w:line="321" w:before="0" w:after="1"/>
              <w:ind w:left="0" w:right="0" w:hanging="0"/>
              <w:jc w:val="center"/>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211"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970" w:type="dxa"/>
            <w:tcBorders/>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Volumes in</w:t>
            </w:r>
          </w:p>
        </w:tc>
        <w:tc>
          <w:tcPr>
            <w:tcW w:w="109" w:type="dxa"/>
            <w:tcBorders/>
            <w:vAlign w:val="center"/>
          </w:tcPr>
          <w:p>
            <w:pPr>
              <w:pStyle w:val="TableContents"/>
              <w:bidi w:val="0"/>
              <w:spacing w:lineRule="auto" w:line="321" w:before="0" w:after="1"/>
              <w:ind w:left="0" w:right="0" w:hanging="0"/>
              <w:jc w:val="left"/>
              <w:rPr/>
            </w:pPr>
            <w:r>
              <w:rPr/>
              <w:t>​</w:t>
            </w:r>
          </w:p>
        </w:tc>
        <w:tc>
          <w:tcPr>
            <w:tcW w:w="3740" w:type="dxa"/>
            <w:gridSpan w:val="11"/>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Weighted Average Price per MMBTU/BBL</w:t>
            </w:r>
          </w:p>
        </w:tc>
      </w:tr>
      <w:tr>
        <w:trPr/>
        <w:tc>
          <w:tcPr>
            <w:tcW w:w="2180" w:type="dxa"/>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Period</w:t>
            </w:r>
          </w:p>
        </w:tc>
        <w:tc>
          <w:tcPr>
            <w:tcW w:w="346" w:type="dxa"/>
            <w:tcBorders/>
            <w:vAlign w:val="center"/>
          </w:tcPr>
          <w:p>
            <w:pPr>
              <w:pStyle w:val="TableContents"/>
              <w:bidi w:val="0"/>
              <w:spacing w:lineRule="auto" w:line="321" w:before="0" w:after="1"/>
              <w:ind w:left="0" w:right="0" w:hanging="0"/>
              <w:jc w:val="left"/>
              <w:rPr/>
            </w:pPr>
            <w:r>
              <w:rPr/>
              <w:t>  ​ ​ ​</w:t>
            </w:r>
          </w:p>
        </w:tc>
        <w:tc>
          <w:tcPr>
            <w:tcW w:w="957" w:type="dxa"/>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Commodity</w:t>
            </w:r>
          </w:p>
        </w:tc>
        <w:tc>
          <w:tcPr>
            <w:tcW w:w="346" w:type="dxa"/>
            <w:tcBorders/>
            <w:vAlign w:val="center"/>
          </w:tcPr>
          <w:p>
            <w:pPr>
              <w:pStyle w:val="TableContents"/>
              <w:bidi w:val="0"/>
              <w:spacing w:lineRule="auto" w:line="321" w:before="0" w:after="1"/>
              <w:ind w:left="0" w:right="0" w:hanging="0"/>
              <w:jc w:val="left"/>
              <w:rPr/>
            </w:pPr>
            <w:r>
              <w:rPr/>
              <w:t>  ​ ​ ​</w:t>
            </w:r>
          </w:p>
        </w:tc>
        <w:tc>
          <w:tcPr>
            <w:tcW w:w="1211" w:type="dxa"/>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Instrument</w:t>
            </w:r>
          </w:p>
        </w:tc>
        <w:tc>
          <w:tcPr>
            <w:tcW w:w="346" w:type="dxa"/>
            <w:tcBorders/>
            <w:vAlign w:val="center"/>
          </w:tcPr>
          <w:p>
            <w:pPr>
              <w:pStyle w:val="TableContents"/>
              <w:bidi w:val="0"/>
              <w:spacing w:lineRule="auto" w:line="321" w:before="0" w:after="1"/>
              <w:ind w:left="0" w:right="0" w:hanging="0"/>
              <w:jc w:val="left"/>
              <w:rPr/>
            </w:pPr>
            <w:r>
              <w:rPr/>
              <w:t>  ​ ​ ​</w:t>
            </w:r>
          </w:p>
        </w:tc>
        <w:tc>
          <w:tcPr>
            <w:tcW w:w="970" w:type="dxa"/>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MMBTU/BBL</w:t>
            </w:r>
          </w:p>
        </w:tc>
        <w:tc>
          <w:tcPr>
            <w:tcW w:w="109" w:type="dxa"/>
            <w:tcBorders/>
            <w:vAlign w:val="center"/>
          </w:tcPr>
          <w:p>
            <w:pPr>
              <w:pStyle w:val="TableContents"/>
              <w:bidi w:val="0"/>
              <w:spacing w:lineRule="auto" w:line="321" w:before="0" w:after="1"/>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Swap</w:t>
            </w:r>
          </w:p>
        </w:tc>
        <w:tc>
          <w:tcPr>
            <w:tcW w:w="346" w:type="dxa"/>
            <w:tcBorders/>
            <w:vAlign w:val="center"/>
          </w:tcPr>
          <w:p>
            <w:pPr>
              <w:pStyle w:val="TableContents"/>
              <w:bidi w:val="0"/>
              <w:spacing w:lineRule="auto" w:line="321" w:before="0" w:after="1"/>
              <w:ind w:left="0" w:right="0" w:hanging="0"/>
              <w:jc w:val="left"/>
              <w:rPr/>
            </w:pPr>
            <w:r>
              <w:rPr/>
              <w:t>  ​ ​ ​</w:t>
            </w:r>
          </w:p>
        </w:tc>
        <w:tc>
          <w:tcPr>
            <w:tcW w:w="771"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Sub Floor</w:t>
            </w:r>
          </w:p>
        </w:tc>
        <w:tc>
          <w:tcPr>
            <w:tcW w:w="346" w:type="dxa"/>
            <w:tcBorders/>
            <w:vAlign w:val="center"/>
          </w:tcPr>
          <w:p>
            <w:pPr>
              <w:pStyle w:val="TableContents"/>
              <w:bidi w:val="0"/>
              <w:spacing w:lineRule="auto" w:line="321"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Floor</w:t>
            </w:r>
          </w:p>
        </w:tc>
        <w:tc>
          <w:tcPr>
            <w:tcW w:w="109" w:type="dxa"/>
            <w:tcBorders/>
            <w:vAlign w:val="center"/>
          </w:tcPr>
          <w:p>
            <w:pPr>
              <w:pStyle w:val="TableContents"/>
              <w:bidi w:val="0"/>
              <w:spacing w:lineRule="auto" w:line="321" w:before="0" w:after="1"/>
              <w:ind w:left="0" w:right="0" w:hanging="0"/>
              <w:jc w:val="left"/>
              <w:rPr/>
            </w:pPr>
            <w:r>
              <w:rPr/>
              <w:t>​</w:t>
            </w:r>
          </w:p>
        </w:tc>
        <w:tc>
          <w:tcPr>
            <w:tcW w:w="754" w:type="dxa"/>
            <w:gridSpan w:val="2"/>
            <w:tcBorders>
              <w:bottom w:val="single" w:sz="2" w:space="0" w:color="000000"/>
            </w:tcBorders>
            <w:tcMar>
              <w:bottom w:w="28" w:type="dxa"/>
            </w:tcMar>
            <w:vAlign w:val="center"/>
          </w:tcPr>
          <w:p>
            <w:pPr>
              <w:pStyle w:val="TableContents"/>
              <w:bidi w:val="0"/>
              <w:spacing w:lineRule="auto" w:line="321" w:before="0" w:after="1"/>
              <w:ind w:left="0" w:right="0" w:hanging="0"/>
              <w:jc w:val="center"/>
              <w:rPr>
                <w:rFonts w:ascii="Segoe UI" w:hAnsi="Segoe UI"/>
                <w:b/>
                <w:sz w:val="14"/>
              </w:rPr>
            </w:pPr>
            <w:r>
              <w:rPr>
                <w:rFonts w:ascii="Segoe UI" w:hAnsi="Segoe UI"/>
                <w:b/>
                <w:sz w:val="14"/>
              </w:rPr>
              <w:t>Ceiling</w:t>
            </w:r>
          </w:p>
        </w:tc>
      </w:tr>
      <w:tr>
        <w:trPr/>
        <w:tc>
          <w:tcPr>
            <w:tcW w:w="2180"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April 2026 - September 2026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957"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Crude Oil</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211"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Fixed-Price Swap</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970"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140,441</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60.24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3" w:type="dxa"/>
            <w:tcBorders/>
            <w:shd w:fill="CCEEFF" w:val="clear"/>
            <w:vAlign w:val="center"/>
          </w:tcPr>
          <w:p>
            <w:pPr>
              <w:pStyle w:val="TableContents"/>
              <w:bidi w:val="0"/>
              <w:spacing w:lineRule="auto" w:line="321" w:before="0" w:after="1"/>
              <w:ind w:left="0" w:right="0" w:hanging="0"/>
              <w:jc w:val="left"/>
              <w:rPr/>
            </w:pPr>
            <w:r>
              <w:rPr/>
              <w:t>​</w:t>
            </w:r>
          </w:p>
        </w:tc>
        <w:tc>
          <w:tcPr>
            <w:tcW w:w="558"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8" w:type="dxa"/>
            <w:tcBorders/>
            <w:shd w:fill="CCEEFF" w:val="clear"/>
            <w:vAlign w:val="center"/>
          </w:tcPr>
          <w:p>
            <w:pPr>
              <w:pStyle w:val="TableContents"/>
              <w:bidi w:val="0"/>
              <w:spacing w:lineRule="auto" w:line="321" w:before="0" w:after="1"/>
              <w:ind w:left="0" w:right="0" w:hanging="0"/>
              <w:jc w:val="left"/>
              <w:rPr/>
            </w:pPr>
            <w:r>
              <w:rPr/>
              <w:t>​</w:t>
            </w:r>
          </w:p>
        </w:tc>
      </w:tr>
      <w:tr>
        <w:trPr/>
        <w:tc>
          <w:tcPr>
            <w:tcW w:w="2180"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January 2027 - December 2027</w:t>
            </w:r>
          </w:p>
        </w:tc>
        <w:tc>
          <w:tcPr>
            <w:tcW w:w="346" w:type="dxa"/>
            <w:tcBorders/>
            <w:vAlign w:val="center"/>
          </w:tcPr>
          <w:p>
            <w:pPr>
              <w:pStyle w:val="TableContents"/>
              <w:bidi w:val="0"/>
              <w:spacing w:lineRule="auto" w:line="321" w:before="0" w:after="1"/>
              <w:ind w:left="0" w:right="0" w:hanging="0"/>
              <w:jc w:val="left"/>
              <w:rPr/>
            </w:pPr>
            <w:r>
              <w:rPr/>
              <w:t>​</w:t>
            </w:r>
          </w:p>
        </w:tc>
        <w:tc>
          <w:tcPr>
            <w:tcW w:w="957"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Crude Oil</w:t>
            </w:r>
          </w:p>
        </w:tc>
        <w:tc>
          <w:tcPr>
            <w:tcW w:w="346" w:type="dxa"/>
            <w:tcBorders/>
            <w:vAlign w:val="center"/>
          </w:tcPr>
          <w:p>
            <w:pPr>
              <w:pStyle w:val="TableContents"/>
              <w:bidi w:val="0"/>
              <w:spacing w:lineRule="auto" w:line="321" w:before="0" w:after="1"/>
              <w:ind w:left="0" w:right="0" w:hanging="0"/>
              <w:jc w:val="left"/>
              <w:rPr/>
            </w:pPr>
            <w:r>
              <w:rPr/>
              <w:t>​</w:t>
            </w:r>
          </w:p>
        </w:tc>
        <w:tc>
          <w:tcPr>
            <w:tcW w:w="1211"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Fixed-Price Swap</w:t>
            </w:r>
          </w:p>
        </w:tc>
        <w:tc>
          <w:tcPr>
            <w:tcW w:w="346" w:type="dxa"/>
            <w:tcBorders/>
            <w:vAlign w:val="center"/>
          </w:tcPr>
          <w:p>
            <w:pPr>
              <w:pStyle w:val="TableContents"/>
              <w:bidi w:val="0"/>
              <w:spacing w:lineRule="auto" w:line="321" w:before="0" w:after="1"/>
              <w:ind w:left="0" w:right="0" w:hanging="0"/>
              <w:jc w:val="left"/>
              <w:rPr/>
            </w:pPr>
            <w:r>
              <w:rPr/>
              <w:t>​</w:t>
            </w:r>
          </w:p>
        </w:tc>
        <w:tc>
          <w:tcPr>
            <w:tcW w:w="970"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108,222</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65.12</w:t>
            </w:r>
          </w:p>
        </w:tc>
        <w:tc>
          <w:tcPr>
            <w:tcW w:w="346" w:type="dxa"/>
            <w:tcBorders/>
            <w:vAlign w:val="center"/>
          </w:tcPr>
          <w:p>
            <w:pPr>
              <w:pStyle w:val="TableContents"/>
              <w:bidi w:val="0"/>
              <w:spacing w:lineRule="auto" w:line="321" w:before="0" w:after="1"/>
              <w:ind w:left="0" w:right="0" w:hanging="0"/>
              <w:jc w:val="left"/>
              <w:rPr/>
            </w:pPr>
            <w:r>
              <w:rPr/>
              <w:t>​</w:t>
            </w:r>
          </w:p>
        </w:tc>
        <w:tc>
          <w:tcPr>
            <w:tcW w:w="213" w:type="dxa"/>
            <w:tcBorders/>
            <w:vAlign w:val="center"/>
          </w:tcPr>
          <w:p>
            <w:pPr>
              <w:pStyle w:val="TableContents"/>
              <w:bidi w:val="0"/>
              <w:spacing w:lineRule="auto" w:line="321" w:before="0" w:after="1"/>
              <w:ind w:left="0" w:right="0" w:hanging="0"/>
              <w:jc w:val="left"/>
              <w:rPr/>
            </w:pPr>
            <w:r>
              <w:rPr/>
              <w:t>​</w:t>
            </w:r>
          </w:p>
        </w:tc>
        <w:tc>
          <w:tcPr>
            <w:tcW w:w="558"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8" w:type="dxa"/>
            <w:tcBorders/>
            <w:vAlign w:val="center"/>
          </w:tcPr>
          <w:p>
            <w:pPr>
              <w:pStyle w:val="TableContents"/>
              <w:bidi w:val="0"/>
              <w:spacing w:lineRule="auto" w:line="321" w:before="0" w:after="1"/>
              <w:ind w:left="0" w:right="0" w:hanging="0"/>
              <w:jc w:val="left"/>
              <w:rPr/>
            </w:pPr>
            <w:r>
              <w:rPr/>
              <w:t>​</w:t>
            </w:r>
          </w:p>
        </w:tc>
      </w:tr>
      <w:tr>
        <w:trPr/>
        <w:tc>
          <w:tcPr>
            <w:tcW w:w="2180"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April 2026 - December 2026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957"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Crude Oil</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211"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Two-Way Collar</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970"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115,372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3" w:type="dxa"/>
            <w:tcBorders/>
            <w:shd w:fill="CCEEFF" w:val="clear"/>
            <w:vAlign w:val="center"/>
          </w:tcPr>
          <w:p>
            <w:pPr>
              <w:pStyle w:val="TableContents"/>
              <w:bidi w:val="0"/>
              <w:spacing w:lineRule="auto" w:line="321" w:before="0" w:after="1"/>
              <w:ind w:left="0" w:right="0" w:hanging="0"/>
              <w:jc w:val="left"/>
              <w:rPr/>
            </w:pPr>
            <w:r>
              <w:rPr/>
              <w:t>​</w:t>
            </w:r>
          </w:p>
        </w:tc>
        <w:tc>
          <w:tcPr>
            <w:tcW w:w="558"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56.33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58"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64.11</w:t>
            </w:r>
          </w:p>
        </w:tc>
      </w:tr>
      <w:tr>
        <w:trPr/>
        <w:tc>
          <w:tcPr>
            <w:tcW w:w="2180"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January 2027 - December 2027</w:t>
            </w:r>
          </w:p>
        </w:tc>
        <w:tc>
          <w:tcPr>
            <w:tcW w:w="346" w:type="dxa"/>
            <w:tcBorders/>
            <w:vAlign w:val="center"/>
          </w:tcPr>
          <w:p>
            <w:pPr>
              <w:pStyle w:val="TableContents"/>
              <w:bidi w:val="0"/>
              <w:spacing w:lineRule="auto" w:line="321" w:before="0" w:after="1"/>
              <w:ind w:left="0" w:right="0" w:hanging="0"/>
              <w:jc w:val="left"/>
              <w:rPr/>
            </w:pPr>
            <w:r>
              <w:rPr/>
              <w:t>​</w:t>
            </w:r>
          </w:p>
        </w:tc>
        <w:tc>
          <w:tcPr>
            <w:tcW w:w="957"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Crude Oil</w:t>
            </w:r>
          </w:p>
        </w:tc>
        <w:tc>
          <w:tcPr>
            <w:tcW w:w="346" w:type="dxa"/>
            <w:tcBorders/>
            <w:vAlign w:val="center"/>
          </w:tcPr>
          <w:p>
            <w:pPr>
              <w:pStyle w:val="TableContents"/>
              <w:bidi w:val="0"/>
              <w:spacing w:lineRule="auto" w:line="321" w:before="0" w:after="1"/>
              <w:ind w:left="0" w:right="0" w:hanging="0"/>
              <w:jc w:val="left"/>
              <w:rPr/>
            </w:pPr>
            <w:r>
              <w:rPr/>
              <w:t>​</w:t>
            </w:r>
          </w:p>
        </w:tc>
        <w:tc>
          <w:tcPr>
            <w:tcW w:w="1211"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Two-Way Collar</w:t>
            </w:r>
          </w:p>
        </w:tc>
        <w:tc>
          <w:tcPr>
            <w:tcW w:w="346" w:type="dxa"/>
            <w:tcBorders/>
            <w:vAlign w:val="center"/>
          </w:tcPr>
          <w:p>
            <w:pPr>
              <w:pStyle w:val="TableContents"/>
              <w:bidi w:val="0"/>
              <w:spacing w:lineRule="auto" w:line="321" w:before="0" w:after="1"/>
              <w:ind w:left="0" w:right="0" w:hanging="0"/>
              <w:jc w:val="left"/>
              <w:rPr/>
            </w:pPr>
            <w:r>
              <w:rPr/>
              <w:t>​</w:t>
            </w:r>
          </w:p>
        </w:tc>
        <w:tc>
          <w:tcPr>
            <w:tcW w:w="970"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138,157</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13" w:type="dxa"/>
            <w:tcBorders/>
            <w:vAlign w:val="center"/>
          </w:tcPr>
          <w:p>
            <w:pPr>
              <w:pStyle w:val="TableContents"/>
              <w:bidi w:val="0"/>
              <w:spacing w:lineRule="auto" w:line="321" w:before="0" w:after="1"/>
              <w:ind w:left="0" w:right="0" w:hanging="0"/>
              <w:jc w:val="left"/>
              <w:rPr/>
            </w:pPr>
            <w:r>
              <w:rPr/>
              <w:t>​</w:t>
            </w:r>
          </w:p>
        </w:tc>
        <w:tc>
          <w:tcPr>
            <w:tcW w:w="558"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58.13</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8"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69.37</w:t>
            </w:r>
          </w:p>
        </w:tc>
      </w:tr>
      <w:tr>
        <w:trPr/>
        <w:tc>
          <w:tcPr>
            <w:tcW w:w="2180"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September 2026 - December 2026</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957"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Crude Oil</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211"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Three-Way Collar</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970"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67,002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3" w:type="dxa"/>
            <w:tcBorders/>
            <w:shd w:fill="CCEEFF" w:val="clear"/>
            <w:vAlign w:val="center"/>
          </w:tcPr>
          <w:p>
            <w:pPr>
              <w:pStyle w:val="TableContents"/>
              <w:bidi w:val="0"/>
              <w:spacing w:lineRule="auto" w:line="321" w:before="0" w:after="1"/>
              <w:ind w:left="0" w:right="0" w:hanging="0"/>
              <w:jc w:val="left"/>
              <w:rPr>
                <w:rFonts w:ascii="Segoe UI" w:hAnsi="Segoe UI"/>
                <w:sz w:val="14"/>
              </w:rPr>
            </w:pPr>
            <w:r>
              <w:rPr>
                <w:rFonts w:ascii="Segoe UI" w:hAnsi="Segoe UI"/>
                <w:sz w:val="14"/>
              </w:rPr>
              <w:t>$</w:t>
            </w:r>
          </w:p>
        </w:tc>
        <w:tc>
          <w:tcPr>
            <w:tcW w:w="558"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50.00</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58.83</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8"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70.36</w:t>
            </w:r>
          </w:p>
        </w:tc>
      </w:tr>
      <w:tr>
        <w:trPr/>
        <w:tc>
          <w:tcPr>
            <w:tcW w:w="2180"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April 2026 - December 2026</w:t>
            </w:r>
          </w:p>
        </w:tc>
        <w:tc>
          <w:tcPr>
            <w:tcW w:w="346" w:type="dxa"/>
            <w:tcBorders/>
            <w:vAlign w:val="center"/>
          </w:tcPr>
          <w:p>
            <w:pPr>
              <w:pStyle w:val="TableContents"/>
              <w:bidi w:val="0"/>
              <w:spacing w:lineRule="auto" w:line="321" w:before="0" w:after="1"/>
              <w:ind w:left="0" w:right="0" w:hanging="0"/>
              <w:jc w:val="left"/>
              <w:rPr/>
            </w:pPr>
            <w:r>
              <w:rPr/>
              <w:t>​</w:t>
            </w:r>
          </w:p>
        </w:tc>
        <w:tc>
          <w:tcPr>
            <w:tcW w:w="957"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Natural Gas</w:t>
            </w:r>
          </w:p>
        </w:tc>
        <w:tc>
          <w:tcPr>
            <w:tcW w:w="346" w:type="dxa"/>
            <w:tcBorders/>
            <w:vAlign w:val="center"/>
          </w:tcPr>
          <w:p>
            <w:pPr>
              <w:pStyle w:val="TableContents"/>
              <w:bidi w:val="0"/>
              <w:spacing w:lineRule="auto" w:line="321" w:before="0" w:after="1"/>
              <w:ind w:left="0" w:right="0" w:hanging="0"/>
              <w:jc w:val="left"/>
              <w:rPr/>
            </w:pPr>
            <w:r>
              <w:rPr/>
              <w:t>​</w:t>
            </w:r>
          </w:p>
        </w:tc>
        <w:tc>
          <w:tcPr>
            <w:tcW w:w="1211"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Fixed-Price Swap</w:t>
            </w:r>
          </w:p>
        </w:tc>
        <w:tc>
          <w:tcPr>
            <w:tcW w:w="346" w:type="dxa"/>
            <w:tcBorders/>
            <w:vAlign w:val="center"/>
          </w:tcPr>
          <w:p>
            <w:pPr>
              <w:pStyle w:val="TableContents"/>
              <w:bidi w:val="0"/>
              <w:spacing w:lineRule="auto" w:line="321" w:before="0" w:after="1"/>
              <w:ind w:left="0" w:right="0" w:hanging="0"/>
              <w:jc w:val="left"/>
              <w:rPr/>
            </w:pPr>
            <w:r>
              <w:rPr/>
              <w:t>​</w:t>
            </w:r>
          </w:p>
        </w:tc>
        <w:tc>
          <w:tcPr>
            <w:tcW w:w="970"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2,532,778</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3.62</w:t>
            </w:r>
          </w:p>
        </w:tc>
        <w:tc>
          <w:tcPr>
            <w:tcW w:w="346" w:type="dxa"/>
            <w:tcBorders/>
            <w:vAlign w:val="center"/>
          </w:tcPr>
          <w:p>
            <w:pPr>
              <w:pStyle w:val="TableContents"/>
              <w:bidi w:val="0"/>
              <w:spacing w:lineRule="auto" w:line="321" w:before="0" w:after="1"/>
              <w:ind w:left="0" w:right="0" w:hanging="0"/>
              <w:jc w:val="left"/>
              <w:rPr/>
            </w:pPr>
            <w:r>
              <w:rPr/>
              <w:t>​</w:t>
            </w:r>
          </w:p>
        </w:tc>
        <w:tc>
          <w:tcPr>
            <w:tcW w:w="213" w:type="dxa"/>
            <w:tcBorders/>
            <w:vAlign w:val="center"/>
          </w:tcPr>
          <w:p>
            <w:pPr>
              <w:pStyle w:val="TableContents"/>
              <w:bidi w:val="0"/>
              <w:spacing w:lineRule="auto" w:line="321" w:before="0" w:after="1"/>
              <w:ind w:left="0" w:right="0" w:hanging="0"/>
              <w:jc w:val="left"/>
              <w:rPr/>
            </w:pPr>
            <w:r>
              <w:rPr/>
              <w:t>​</w:t>
            </w:r>
          </w:p>
        </w:tc>
        <w:tc>
          <w:tcPr>
            <w:tcW w:w="558"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left"/>
              <w:rPr/>
            </w:pPr>
            <w:r>
              <w:rPr/>
              <w:t>​</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8" w:type="dxa"/>
            <w:tcBorders/>
            <w:vAlign w:val="center"/>
          </w:tcPr>
          <w:p>
            <w:pPr>
              <w:pStyle w:val="TableContents"/>
              <w:bidi w:val="0"/>
              <w:spacing w:lineRule="auto" w:line="321" w:before="0" w:after="1"/>
              <w:ind w:left="0" w:right="0" w:hanging="0"/>
              <w:jc w:val="left"/>
              <w:rPr/>
            </w:pPr>
            <w:r>
              <w:rPr/>
              <w:t>​</w:t>
            </w:r>
          </w:p>
        </w:tc>
      </w:tr>
      <w:tr>
        <w:trPr/>
        <w:tc>
          <w:tcPr>
            <w:tcW w:w="2180"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January 2027 - December 2027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957"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Natural Gas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211"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Fixed-Price Swap</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970"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1,537,008</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3.54</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3" w:type="dxa"/>
            <w:tcBorders/>
            <w:shd w:fill="CCEEFF" w:val="clear"/>
            <w:vAlign w:val="center"/>
          </w:tcPr>
          <w:p>
            <w:pPr>
              <w:pStyle w:val="TableContents"/>
              <w:bidi w:val="0"/>
              <w:spacing w:lineRule="auto" w:line="321" w:before="0" w:after="1"/>
              <w:ind w:left="0" w:right="0" w:hanging="0"/>
              <w:jc w:val="left"/>
              <w:rPr/>
            </w:pPr>
            <w:r>
              <w:rPr/>
              <w:t>​</w:t>
            </w:r>
          </w:p>
        </w:tc>
        <w:tc>
          <w:tcPr>
            <w:tcW w:w="558"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left"/>
              <w:rPr/>
            </w:pPr>
            <w:r>
              <w:rPr/>
              <w:t>​</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8" w:type="dxa"/>
            <w:tcBorders/>
            <w:shd w:fill="CCEEFF" w:val="clear"/>
            <w:vAlign w:val="center"/>
          </w:tcPr>
          <w:p>
            <w:pPr>
              <w:pStyle w:val="TableContents"/>
              <w:bidi w:val="0"/>
              <w:spacing w:lineRule="auto" w:line="321" w:before="0" w:after="1"/>
              <w:ind w:left="0" w:right="0" w:hanging="0"/>
              <w:jc w:val="left"/>
              <w:rPr/>
            </w:pPr>
            <w:r>
              <w:rPr/>
              <w:t>​</w:t>
            </w:r>
          </w:p>
        </w:tc>
      </w:tr>
      <w:tr>
        <w:trPr/>
        <w:tc>
          <w:tcPr>
            <w:tcW w:w="2180"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April 2026 - December 2026</w:t>
            </w:r>
          </w:p>
        </w:tc>
        <w:tc>
          <w:tcPr>
            <w:tcW w:w="346" w:type="dxa"/>
            <w:tcBorders/>
            <w:vAlign w:val="center"/>
          </w:tcPr>
          <w:p>
            <w:pPr>
              <w:pStyle w:val="TableContents"/>
              <w:bidi w:val="0"/>
              <w:spacing w:lineRule="auto" w:line="321" w:before="0" w:after="1"/>
              <w:ind w:left="0" w:right="0" w:hanging="0"/>
              <w:jc w:val="left"/>
              <w:rPr/>
            </w:pPr>
            <w:r>
              <w:rPr/>
              <w:t>​</w:t>
            </w:r>
          </w:p>
        </w:tc>
        <w:tc>
          <w:tcPr>
            <w:tcW w:w="957"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Natural Gas</w:t>
            </w:r>
          </w:p>
        </w:tc>
        <w:tc>
          <w:tcPr>
            <w:tcW w:w="346" w:type="dxa"/>
            <w:tcBorders/>
            <w:vAlign w:val="center"/>
          </w:tcPr>
          <w:p>
            <w:pPr>
              <w:pStyle w:val="TableContents"/>
              <w:bidi w:val="0"/>
              <w:spacing w:lineRule="auto" w:line="321" w:before="0" w:after="1"/>
              <w:ind w:left="0" w:right="0" w:hanging="0"/>
              <w:jc w:val="left"/>
              <w:rPr/>
            </w:pPr>
            <w:r>
              <w:rPr/>
              <w:t>​</w:t>
            </w:r>
          </w:p>
        </w:tc>
        <w:tc>
          <w:tcPr>
            <w:tcW w:w="1211" w:type="dxa"/>
            <w:tcBorders/>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Two-Way Collar</w:t>
            </w:r>
          </w:p>
        </w:tc>
        <w:tc>
          <w:tcPr>
            <w:tcW w:w="346" w:type="dxa"/>
            <w:tcBorders/>
            <w:vAlign w:val="center"/>
          </w:tcPr>
          <w:p>
            <w:pPr>
              <w:pStyle w:val="TableContents"/>
              <w:bidi w:val="0"/>
              <w:spacing w:lineRule="auto" w:line="321" w:before="0" w:after="1"/>
              <w:ind w:left="0" w:right="0" w:hanging="0"/>
              <w:jc w:val="left"/>
              <w:rPr/>
            </w:pPr>
            <w:r>
              <w:rPr/>
              <w:t>​</w:t>
            </w:r>
          </w:p>
        </w:tc>
        <w:tc>
          <w:tcPr>
            <w:tcW w:w="970"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1,749,713</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213" w:type="dxa"/>
            <w:tcBorders/>
            <w:vAlign w:val="center"/>
          </w:tcPr>
          <w:p>
            <w:pPr>
              <w:pStyle w:val="TableContents"/>
              <w:bidi w:val="0"/>
              <w:spacing w:lineRule="auto" w:line="321" w:before="0" w:after="1"/>
              <w:ind w:left="0" w:right="0" w:hanging="0"/>
              <w:jc w:val="left"/>
              <w:rPr/>
            </w:pPr>
            <w:r>
              <w:rPr/>
              <w:t>​</w:t>
            </w:r>
          </w:p>
        </w:tc>
        <w:tc>
          <w:tcPr>
            <w:tcW w:w="558" w:type="dxa"/>
            <w:tcBorders/>
            <w:vAlign w:val="center"/>
          </w:tcPr>
          <w:p>
            <w:pPr>
              <w:pStyle w:val="TableContents"/>
              <w:bidi w:val="0"/>
              <w:spacing w:lineRule="auto" w:line="321" w:before="0" w:after="1"/>
              <w:ind w:left="0" w:right="0" w:hanging="0"/>
              <w:jc w:val="left"/>
              <w:rPr/>
            </w:pPr>
            <w:r>
              <w:rPr/>
              <w:t>​</w:t>
            </w:r>
          </w:p>
        </w:tc>
        <w:tc>
          <w:tcPr>
            <w:tcW w:w="346"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11"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3.55</w:t>
            </w:r>
          </w:p>
        </w:tc>
        <w:tc>
          <w:tcPr>
            <w:tcW w:w="109" w:type="dxa"/>
            <w:tcBorders/>
            <w:vAlign w:val="center"/>
          </w:tcPr>
          <w:p>
            <w:pPr>
              <w:pStyle w:val="TableContents"/>
              <w:bidi w:val="0"/>
              <w:spacing w:lineRule="auto" w:line="321" w:before="0" w:after="1"/>
              <w:ind w:left="0" w:right="0" w:hanging="0"/>
              <w:jc w:val="left"/>
              <w:rPr/>
            </w:pPr>
            <w:r>
              <w:rPr/>
              <w:t>​</w:t>
            </w:r>
          </w:p>
        </w:tc>
        <w:tc>
          <w:tcPr>
            <w:tcW w:w="196" w:type="dxa"/>
            <w:tcBorders/>
            <w:vAlign w:val="center"/>
          </w:tcPr>
          <w:p>
            <w:pPr>
              <w:pStyle w:val="TableContents"/>
              <w:bidi w:val="0"/>
              <w:spacing w:lineRule="auto" w:line="321" w:before="0" w:after="1"/>
              <w:ind w:left="0" w:right="0" w:hanging="0"/>
              <w:jc w:val="left"/>
              <w:rPr/>
            </w:pPr>
            <w:r>
              <w:rPr/>
              <w:t>​</w:t>
            </w:r>
          </w:p>
        </w:tc>
        <w:tc>
          <w:tcPr>
            <w:tcW w:w="558" w:type="dxa"/>
            <w:tcBorders/>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4.65</w:t>
            </w:r>
          </w:p>
        </w:tc>
      </w:tr>
      <w:tr>
        <w:trPr/>
        <w:tc>
          <w:tcPr>
            <w:tcW w:w="2180"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January 2027 - March 2027</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957"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Natural Gas</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211" w:type="dxa"/>
            <w:tcBorders/>
            <w:shd w:fill="CCEEFF" w:val="clear"/>
            <w:vAlign w:val="center"/>
          </w:tcPr>
          <w:p>
            <w:pPr>
              <w:pStyle w:val="TableContents"/>
              <w:bidi w:val="0"/>
              <w:spacing w:lineRule="auto" w:line="321" w:before="0" w:after="1"/>
              <w:ind w:left="0" w:right="0" w:hanging="0"/>
              <w:jc w:val="center"/>
              <w:rPr>
                <w:rFonts w:ascii="Segoe UI" w:hAnsi="Segoe UI"/>
                <w:sz w:val="14"/>
              </w:rPr>
            </w:pPr>
            <w:r>
              <w:rPr>
                <w:rFonts w:ascii="Segoe UI" w:hAnsi="Segoe UI"/>
                <w:sz w:val="14"/>
              </w:rPr>
              <w:t>Two-Way Collar</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970"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850,794</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213" w:type="dxa"/>
            <w:tcBorders/>
            <w:shd w:fill="CCEEFF" w:val="clear"/>
            <w:vAlign w:val="center"/>
          </w:tcPr>
          <w:p>
            <w:pPr>
              <w:pStyle w:val="TableContents"/>
              <w:bidi w:val="0"/>
              <w:spacing w:lineRule="auto" w:line="321" w:before="0" w:after="1"/>
              <w:ind w:left="0" w:right="0" w:hanging="0"/>
              <w:jc w:val="left"/>
              <w:rPr/>
            </w:pPr>
            <w:r>
              <w:rPr/>
              <w:t>​</w:t>
            </w:r>
          </w:p>
        </w:tc>
        <w:tc>
          <w:tcPr>
            <w:tcW w:w="558" w:type="dxa"/>
            <w:tcBorders/>
            <w:shd w:fill="CCEEFF" w:val="clear"/>
            <w:vAlign w:val="center"/>
          </w:tcPr>
          <w:p>
            <w:pPr>
              <w:pStyle w:val="TableContents"/>
              <w:bidi w:val="0"/>
              <w:spacing w:lineRule="auto" w:line="321" w:before="0" w:after="1"/>
              <w:ind w:left="0" w:right="0" w:hanging="0"/>
              <w:jc w:val="left"/>
              <w:rPr/>
            </w:pPr>
            <w:r>
              <w:rPr/>
              <w:t>​</w:t>
            </w:r>
          </w:p>
        </w:tc>
        <w:tc>
          <w:tcPr>
            <w:tcW w:w="346"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11" w:type="dxa"/>
            <w:tcBorders/>
            <w:shd w:fill="CCEEFF" w:val="clear"/>
            <w:vAlign w:val="center"/>
          </w:tcPr>
          <w:p>
            <w:pPr>
              <w:pStyle w:val="TableContents"/>
              <w:bidi w:val="0"/>
              <w:spacing w:lineRule="auto" w:line="321" w:before="0" w:after="1"/>
              <w:ind w:left="0" w:right="0" w:hanging="0"/>
              <w:jc w:val="right"/>
              <w:rPr>
                <w:rFonts w:ascii="Segoe UI" w:hAnsi="Segoe UI"/>
                <w:sz w:val="14"/>
              </w:rPr>
            </w:pPr>
            <w:r>
              <w:rPr>
                <w:rFonts w:ascii="Segoe UI" w:hAnsi="Segoe UI"/>
                <w:sz w:val="14"/>
              </w:rPr>
              <w:t>3.62</w:t>
            </w:r>
          </w:p>
        </w:tc>
        <w:tc>
          <w:tcPr>
            <w:tcW w:w="109" w:type="dxa"/>
            <w:tcBorders/>
            <w:shd w:fill="CCEEFF" w:val="clear"/>
            <w:vAlign w:val="center"/>
          </w:tcPr>
          <w:p>
            <w:pPr>
              <w:pStyle w:val="TableContents"/>
              <w:bidi w:val="0"/>
              <w:spacing w:lineRule="auto" w:line="321" w:before="0" w:after="1"/>
              <w:ind w:left="0" w:right="0" w:hanging="0"/>
              <w:jc w:val="left"/>
              <w:rPr/>
            </w:pPr>
            <w:r>
              <w:rPr/>
              <w:t>​</w:t>
            </w:r>
          </w:p>
        </w:tc>
        <w:tc>
          <w:tcPr>
            <w:tcW w:w="196" w:type="dxa"/>
            <w:tcBorders/>
            <w:shd w:fill="CCEEFF" w:val="clear"/>
            <w:vAlign w:val="center"/>
          </w:tcPr>
          <w:p>
            <w:pPr>
              <w:pStyle w:val="TableContents"/>
              <w:bidi w:val="0"/>
              <w:spacing w:lineRule="auto" w:line="321" w:before="0" w:after="1"/>
              <w:ind w:left="0" w:right="0" w:hanging="0"/>
              <w:jc w:val="left"/>
              <w:rPr/>
            </w:pPr>
            <w:r>
              <w:rPr/>
              <w:t>​</w:t>
            </w:r>
          </w:p>
        </w:tc>
        <w:tc>
          <w:tcPr>
            <w:tcW w:w="558" w:type="dxa"/>
            <w:tcBorders/>
            <w:shd w:fill="CCEEFF" w:val="clear"/>
            <w:vAlign w:val="center"/>
          </w:tcPr>
          <w:p>
            <w:pPr>
              <w:pStyle w:val="TableContents"/>
              <w:bidi w:val="0"/>
              <w:spacing w:lineRule="auto" w:line="321" w:before="0" w:after="1"/>
              <w:ind w:left="0" w:right="45" w:hanging="0"/>
              <w:jc w:val="right"/>
              <w:rPr>
                <w:rFonts w:ascii="Segoe UI" w:hAnsi="Segoe UI"/>
                <w:sz w:val="14"/>
              </w:rPr>
            </w:pPr>
            <w:r>
              <w:rPr>
                <w:rFonts w:ascii="Segoe UI" w:hAnsi="Segoe UI"/>
                <w:sz w:val="14"/>
              </w:rPr>
              <w:t>5.60</w:t>
            </w:r>
          </w:p>
        </w:tc>
      </w:tr>
    </w:tbl>
    <w:p>
      <w:pPr>
        <w:pStyle w:val="TextBody"/>
        <w:bidi w:val="0"/>
        <w:spacing w:lineRule="auto" w:line="321" w:before="0" w:after="0"/>
        <w:ind w:left="0" w:right="0" w:hanging="0"/>
        <w:jc w:val="left"/>
        <w:rPr/>
      </w:pPr>
      <w:r>
        <w:rPr/>
        <w:t>​</w:t>
      </w:r>
    </w:p>
    <w:p>
      <w:pPr>
        <w:pStyle w:val="TextBody"/>
        <w:bidi w:val="0"/>
        <w:spacing w:lineRule="auto" w:line="285" w:before="0" w:after="0"/>
        <w:ind w:left="0" w:right="0" w:hanging="0"/>
        <w:jc w:val="center"/>
        <w:rPr>
          <w:rFonts w:ascii="Segoe UI" w:hAnsi="Segoe UI"/>
          <w:sz w:val="22"/>
        </w:rPr>
      </w:pPr>
      <w:r>
        <w:rPr>
          <w:rFonts w:ascii="Segoe UI" w:hAnsi="Segoe UI"/>
          <w:sz w:val="22"/>
        </w:rPr>
        <w:t>15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egoe UI">
    <w:charset w:val="01"/>
    <w:family w:val="auto"/>
    <w:pitch w:val="default"/>
  </w:font>
  <w:font w:name="Segoe UI Semibold">
    <w:charset w:val="01"/>
    <w:family w:val="auto"/>
    <w:pitch w:val="default"/>
  </w:font>
  <w:font w:name="Courier New">
    <w:charset w:val="01"/>
    <w:family w:val="auto"/>
    <w:pitch w:val="default"/>
  </w:font>
  <w:font w:name="Segoe UI Symbol">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6246</Words>
  <Characters>33815</Characters>
  <CharactersWithSpaces>41415</CharactersWithSpaces>
  <Paragraphs>4369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