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4" w:lineRule="exact"/>
        <w:rPr>
          <w:sz w:val="24"/>
          <w:szCs w:val="24"/>
          <w:color w:val="auto"/>
        </w:rPr>
      </w:pPr>
    </w:p>
    <w:p>
      <w:pPr>
        <w:ind w:left="7080"/>
        <w:spacing w:after="0"/>
        <w:rPr>
          <w:sz w:val="20"/>
          <w:szCs w:val="20"/>
          <w:color w:val="auto"/>
        </w:rPr>
      </w:pPr>
      <w:r>
        <w:rPr>
          <w:rFonts w:ascii="Times New Roman" w:cs="Times New Roman" w:eastAsia="Times New Roman" w:hAnsi="Times New Roman"/>
          <w:sz w:val="17"/>
          <w:szCs w:val="17"/>
          <w:b w:val="1"/>
          <w:bCs w:val="1"/>
          <w:color w:val="auto"/>
        </w:rPr>
        <w:t> Filed Pursuant to Rule 424(b)(5)</w:t>
      </w:r>
    </w:p>
    <w:p>
      <w:pPr>
        <w:spacing w:after="0" w:line="18"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7"/>
          <w:szCs w:val="17"/>
          <w:b w:val="1"/>
          <w:bCs w:val="1"/>
          <w:color w:val="auto"/>
        </w:rPr>
        <w:t> Registration File No. 333-292785</w:t>
      </w:r>
    </w:p>
    <w:p>
      <w:pPr>
        <w:spacing w:after="0" w:line="3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prospectus dated January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2617470</wp:posOffset>
            </wp:positionH>
            <wp:positionV relativeFrom="paragraph">
              <wp:posOffset>357505</wp:posOffset>
            </wp:positionV>
            <wp:extent cx="158559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559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Evolution Petroleum Corporation</w:t>
      </w:r>
    </w:p>
    <w:p>
      <w:pPr>
        <w:spacing w:after="0" w:line="217" w:lineRule="exact"/>
        <w:rPr>
          <w:sz w:val="24"/>
          <w:szCs w:val="24"/>
          <w:color w:val="auto"/>
        </w:rPr>
      </w:pPr>
    </w:p>
    <w:p>
      <w:pPr>
        <w:jc w:val="right"/>
        <w:ind w:right="3619"/>
        <w:spacing w:after="0"/>
        <w:rPr>
          <w:sz w:val="20"/>
          <w:szCs w:val="20"/>
          <w:color w:val="auto"/>
        </w:rPr>
      </w:pPr>
      <w:r>
        <w:rPr>
          <w:rFonts w:ascii="Times New Roman" w:cs="Times New Roman" w:eastAsia="Times New Roman" w:hAnsi="Times New Roman"/>
          <w:sz w:val="25"/>
          <w:szCs w:val="25"/>
          <w:b w:val="1"/>
          <w:bCs w:val="1"/>
          <w:color w:val="auto"/>
        </w:rPr>
        <w:t>Up to $30,000,000</w:t>
      </w:r>
    </w:p>
    <w:p>
      <w:pPr>
        <w:spacing w:after="0" w:line="44" w:lineRule="exact"/>
        <w:rPr>
          <w:sz w:val="24"/>
          <w:szCs w:val="24"/>
          <w:color w:val="auto"/>
        </w:rPr>
      </w:pPr>
    </w:p>
    <w:p>
      <w:pPr>
        <w:jc w:val="right"/>
        <w:ind w:right="37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122555</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entered into a sales agreement dated as of February 11, 2026,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with</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Roth Capital Partners, LLC as lead agent (“</w:t>
      </w:r>
      <w:r>
        <w:rPr>
          <w:rFonts w:ascii="Times New Roman" w:cs="Times New Roman" w:eastAsia="Times New Roman" w:hAnsi="Times New Roman"/>
          <w:sz w:val="18"/>
          <w:szCs w:val="18"/>
          <w:b w:val="1"/>
          <w:bCs w:val="1"/>
          <w:color w:val="auto"/>
        </w:rPr>
        <w:t>Roth</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Lead Agent</w:t>
      </w:r>
      <w:r>
        <w:rPr>
          <w:rFonts w:ascii="Times New Roman" w:cs="Times New Roman" w:eastAsia="Times New Roman" w:hAnsi="Times New Roman"/>
          <w:sz w:val="18"/>
          <w:szCs w:val="18"/>
          <w:color w:val="auto"/>
        </w:rPr>
        <w:t>”), Northland Securities, Inc.</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Northland</w:t>
      </w:r>
      <w:r>
        <w:rPr>
          <w:rFonts w:ascii="Times New Roman" w:cs="Times New Roman" w:eastAsia="Times New Roman" w:hAnsi="Times New Roman"/>
          <w:sz w:val="18"/>
          <w:szCs w:val="18"/>
          <w:color w:val="auto"/>
        </w:rPr>
        <w:t>”) and A.G.P./Alliance Global Partners (“</w:t>
      </w:r>
      <w:r>
        <w:rPr>
          <w:rFonts w:ascii="Times New Roman" w:cs="Times New Roman" w:eastAsia="Times New Roman" w:hAnsi="Times New Roman"/>
          <w:sz w:val="18"/>
          <w:szCs w:val="18"/>
          <w:b w:val="1"/>
          <w:bCs w:val="1"/>
          <w:color w:val="auto"/>
        </w:rPr>
        <w:t>AGP</w:t>
      </w:r>
      <w:r>
        <w:rPr>
          <w:rFonts w:ascii="Times New Roman" w:cs="Times New Roman" w:eastAsia="Times New Roman" w:hAnsi="Times New Roman"/>
          <w:sz w:val="18"/>
          <w:szCs w:val="18"/>
          <w:color w:val="auto"/>
        </w:rPr>
        <w:t>”) (each of Roth, Northland and AGP an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together,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relating to the sale of shares of our common stock, par value $0.001 per share,</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offered by this prospectus supplement and the accompanying prospectus. In accordance with the terms of</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Sales Agreement, we may offer and sell shares of our common stock having an aggregate offering</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price of up to $30,000,000 from time to time through the Lead Agent, acting as our agent or principal.</w:t>
      </w:r>
    </w:p>
    <w:p>
      <w:pPr>
        <w:spacing w:after="0" w:line="135" w:lineRule="exact"/>
        <w:rPr>
          <w:sz w:val="24"/>
          <w:szCs w:val="24"/>
          <w:color w:val="auto"/>
        </w:rPr>
      </w:pPr>
    </w:p>
    <w:p>
      <w:pPr>
        <w:jc w:val="both"/>
        <w:ind w:left="1260" w:right="1239" w:firstLine="360"/>
        <w:spacing w:after="0" w:line="286" w:lineRule="auto"/>
        <w:rPr>
          <w:sz w:val="20"/>
          <w:szCs w:val="20"/>
          <w:color w:val="auto"/>
        </w:rPr>
      </w:pPr>
      <w:r>
        <w:rPr>
          <w:rFonts w:ascii="Times New Roman" w:cs="Times New Roman" w:eastAsia="Times New Roman" w:hAnsi="Times New Roman"/>
          <w:sz w:val="18"/>
          <w:szCs w:val="18"/>
          <w:color w:val="auto"/>
        </w:rPr>
        <w:t>Our common stock is listed on the NYSE American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under the symbol “EPM.” On February 6, 2026, the last reported sale price of our common stock on NYSE was $4.10 per share.</w:t>
      </w:r>
    </w:p>
    <w:p>
      <w:pPr>
        <w:spacing w:after="0" w:line="91" w:lineRule="exact"/>
        <w:rPr>
          <w:sz w:val="24"/>
          <w:szCs w:val="24"/>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will be made in sales deemed to be an “at the market offering” as defined in Rule 415(a)(4) promulgated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Lead Agent is not required to sell any specific amount of securities but will act as our sales agents using commercially reasonable efforts consistent with its normal trading and sales practices, on mutually agreed terms between the Lead Agent and us. There is no arrangement for funds to be received in any escrow, trust or similar arrangement.</w:t>
      </w:r>
    </w:p>
    <w:p>
      <w:pPr>
        <w:spacing w:after="0" w:line="106" w:lineRule="exact"/>
        <w:rPr>
          <w:sz w:val="24"/>
          <w:szCs w:val="24"/>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 compensation to the Agents for sales of common stock sold pursuant to the Sales Agreement will be 3.00% of the gross proceeds of any shares of common stock sold under the Sales Agreement. In connection with the sale of the common stock on our behalf, the Agents will be deemed to be an “underwriter”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or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left="1260" w:right="7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An investment in our common stock involves significant risks. These risks are described under “Risk Factors” beginning on page </w:t>
      </w:r>
      <w:r>
        <w:rPr>
          <w:rFonts w:ascii="Times New Roman" w:cs="Times New Roman" w:eastAsia="Times New Roman" w:hAnsi="Times New Roman"/>
          <w:sz w:val="17"/>
          <w:szCs w:val="17"/>
          <w:b w:val="1"/>
          <w:bCs w:val="1"/>
          <w:u w:val="single" w:color="auto"/>
          <w:color w:val="0000EE"/>
        </w:rPr>
        <w:t>S-3</w:t>
      </w:r>
      <w:r>
        <w:rPr>
          <w:rFonts w:ascii="Times New Roman" w:cs="Times New Roman" w:eastAsia="Times New Roman" w:hAnsi="Times New Roman"/>
          <w:sz w:val="17"/>
          <w:szCs w:val="17"/>
          <w:b w:val="1"/>
          <w:bCs w:val="1"/>
          <w:color w:val="auto"/>
        </w:rPr>
        <w:t xml:space="preserve"> of this prospectus supplement and under similar headings in the documents incorporated by reference into this prospectus supplement and the accompanying prospectus.</w:t>
      </w:r>
    </w:p>
    <w:p>
      <w:pPr>
        <w:spacing w:after="0" w:line="89" w:lineRule="exact"/>
        <w:rPr>
          <w:sz w:val="24"/>
          <w:szCs w:val="24"/>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243205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right"/>
        <w:ind w:right="399"/>
        <w:spacing w:after="0"/>
        <w:tabs>
          <w:tab w:leader="none" w:pos="4840" w:val="left"/>
          <w:tab w:leader="none" w:pos="760" w:val="left"/>
        </w:tabs>
        <w:rPr>
          <w:sz w:val="20"/>
          <w:szCs w:val="20"/>
          <w:color w:val="auto"/>
        </w:rPr>
      </w:pPr>
      <w:r>
        <w:rPr>
          <w:rFonts w:ascii="Times New Roman" w:cs="Times New Roman" w:eastAsia="Times New Roman" w:hAnsi="Times New Roman"/>
          <w:sz w:val="29"/>
          <w:szCs w:val="29"/>
          <w:b w:val="1"/>
          <w:bCs w:val="1"/>
          <w:color w:val="auto"/>
        </w:rPr>
        <w:t>Roth Capital Partners</w:t>
      </w:r>
      <w:r>
        <w:rPr>
          <w:sz w:val="20"/>
          <w:szCs w:val="20"/>
          <w:color w:val="auto"/>
        </w:rPr>
        <w:tab/>
      </w:r>
      <w:r>
        <w:rPr>
          <w:rFonts w:ascii="Times New Roman" w:cs="Times New Roman" w:eastAsia="Times New Roman" w:hAnsi="Times New Roman"/>
          <w:sz w:val="29"/>
          <w:szCs w:val="29"/>
          <w:b w:val="1"/>
          <w:bCs w:val="1"/>
          <w:color w:val="auto"/>
        </w:rPr>
        <w:t>Northland Capital Markets</w:t>
      </w:r>
      <w:r>
        <w:rPr>
          <w:sz w:val="20"/>
          <w:szCs w:val="20"/>
          <w:color w:val="auto"/>
        </w:rPr>
        <w:tab/>
      </w:r>
      <w:r>
        <w:rPr>
          <w:rFonts w:ascii="Times New Roman" w:cs="Times New Roman" w:eastAsia="Times New Roman" w:hAnsi="Times New Roman"/>
          <w:sz w:val="27"/>
          <w:szCs w:val="27"/>
          <w:b w:val="1"/>
          <w:bCs w:val="1"/>
          <w:color w:val="auto"/>
        </w:rPr>
        <w:t>A.G.P.</w:t>
      </w:r>
    </w:p>
    <w:p>
      <w:pPr>
        <w:spacing w:after="0" w:line="22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The date of this prospectus supplement is February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right="360"/>
        <w:spacing w:after="0" w:line="305" w:lineRule="auto"/>
        <w:rPr>
          <w:sz w:val="20"/>
          <w:szCs w:val="20"/>
          <w:color w:val="auto"/>
        </w:rPr>
      </w:pPr>
      <w:r>
        <w:rPr>
          <w:rFonts w:ascii="Times New Roman" w:cs="Times New Roman" w:eastAsia="Times New Roman" w:hAnsi="Times New Roman"/>
          <w:sz w:val="18"/>
          <w:szCs w:val="18"/>
          <w:u w:val="single" w:color="auto"/>
          <w:color w:val="0000EE"/>
        </w:rPr>
        <w:t>CAUTIONARY STATEMENT REGARDING FORWARD-LOOKING STATEMENTS 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DIVIDEND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BY REFERENCE</w:t>
      </w: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right="260"/>
        <w:spacing w:after="0" w:line="305" w:lineRule="auto"/>
        <w:rPr>
          <w:sz w:val="20"/>
          <w:szCs w:val="20"/>
          <w:color w:val="auto"/>
        </w:rPr>
      </w:pPr>
      <w:r>
        <w:rPr>
          <w:rFonts w:ascii="Times New Roman" w:cs="Times New Roman" w:eastAsia="Times New Roman" w:hAnsi="Times New Roman"/>
          <w:sz w:val="18"/>
          <w:szCs w:val="18"/>
          <w:u w:val="single" w:color="auto"/>
          <w:color w:val="0000EE"/>
        </w:rPr>
        <w:t>CAUTIONARY STATEMENTS REGARDING FORWARD-LOOKING STATEMENTS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OUR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INFORMATION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9"/>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6"/>
              </w:rPr>
              <w:t xml:space="preserve">Page </w:t>
            </w:r>
            <w:r>
              <w:rPr>
                <w:rFonts w:ascii="Times New Roman" w:cs="Times New Roman" w:eastAsia="Times New Roman" w:hAnsi="Times New Roman"/>
                <w:sz w:val="28"/>
                <w:szCs w:val="28"/>
                <w:b w:val="1"/>
                <w:bCs w:val="1"/>
                <w:color w:val="auto"/>
                <w:w w:val="86"/>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4"/>
        </w:trPr>
        <w:tc>
          <w:tcPr>
            <w:tcW w:w="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spacing w:after="0" w:line="174" w:lineRule="exact"/>
              <w:rPr>
                <w:sz w:val="20"/>
                <w:szCs w:val="20"/>
                <w:color w:val="auto"/>
              </w:rPr>
            </w:pPr>
            <w:r>
              <w:rPr>
                <w:rFonts w:ascii="Times New Roman" w:cs="Times New Roman" w:eastAsia="Times New Roman" w:hAnsi="Times New Roman"/>
                <w:sz w:val="18"/>
                <w:szCs w:val="18"/>
                <w:color w:val="0000EE"/>
                <w:w w:val="84"/>
              </w:rPr>
              <w:t>S-ii</w:t>
            </w:r>
          </w:p>
        </w:tc>
        <w:tc>
          <w:tcPr>
            <w:tcW w:w="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S-iii</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7"/>
              </w:rPr>
              <w:t>S-1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7"/>
              </w:rPr>
              <w:t>S-2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7"/>
              </w:rPr>
              <w:t>S-3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7"/>
              </w:rPr>
              <w:t>S-5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7"/>
              </w:rPr>
              <w:t>S-6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7"/>
              </w:rPr>
              <w:t>S-7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7"/>
              </w:rPr>
              <w:t>S-9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S-10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S-11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S-12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6"/>
              </w:rPr>
              <w:t xml:space="preserve">Page </w:t>
            </w:r>
            <w:r>
              <w:rPr>
                <w:rFonts w:ascii="Times New Roman" w:cs="Times New Roman" w:eastAsia="Times New Roman" w:hAnsi="Times New Roman"/>
                <w:sz w:val="28"/>
                <w:szCs w:val="28"/>
                <w:b w:val="1"/>
                <w:bCs w:val="1"/>
                <w:color w:val="auto"/>
                <w:w w:val="86"/>
                <w:vertAlign w:val="subscript"/>
              </w:rPr>
              <w:t>​</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194"/>
        </w:trPr>
        <w:tc>
          <w:tcPr>
            <w:tcW w:w="2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0000EE"/>
            </w:tcBorders>
          </w:tcPr>
          <w:p>
            <w:pPr>
              <w:jc w:val="right"/>
              <w:spacing w:after="0" w:line="174"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0000EE"/>
                <w:w w:val="99"/>
              </w:rPr>
              <w:t>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ectPr>
          <w:pgSz w:w="11900" w:h="16838" w:orient="portrait"/>
          <w:cols w:equalWidth="0" w:num="2">
            <w:col w:w="8160" w:space="720"/>
            <w:col w:w="9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contains specific information about the terms on which we are offering and selling our common stock and also adds to and updates information contained in the accompanying prospectus and documents incorporated by reference herein and therein. Under this prospectus supplement and the accompanying prospectus, we may offer and sell shares of our common stock having an aggregate offering price of up to $30,000,000 from time to time through the Agents at prices and on terms to be determined by market conditions at the time of the offering. The second part is the accompanying prospectus, which contains and incorporates by reference more general information, some of which may not apply to this offering. This prospectus supplement and the accompanying prospectus are part of a registration statement on Form S-3 that we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using a “shelf” registration process. We urge you to carefully read this prospectus supplement, the information incorporated by reference, the accompanying prospectus, and any free writing prospectus that we authorize to be distributed to you before buying any of the securities being offered under this prospectus supplement. This prospectus supplement may supplement,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34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contained in, or incorporated by reference into, the accompanying prospectus, or contained in any free writing prospectus we have authorized to be distributed to you in connection with this offering. We have not, and the Agents have not, authorized anyone to provide you with different or inconsistent information. You should not rely on any unauthorized information or representation. This prospectus supplement is an offer to sell only the securities offered hereby, and only under circumstances and in jurisdictions where it is lawful to do so. You should assume that the information in this prospectus supplement, the accompanying prospectus and any free writing prospectus authorized to be distributed by us is accurate only as of the date on the front of the applicable document and that any information we have incorporated by reference is accurate only as of the date of the document incorporated by reference, regardless of the time of delivery of this prospectus supplement, the accompanying prospectus, any free writing prospectus or any sale of a security. Our business, assets, financial condition, results of operations and prospects may have changed since such dates.</w:t>
      </w:r>
    </w:p>
    <w:p>
      <w:pPr>
        <w:spacing w:after="0" w:line="325"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are not making any representation to you regarding the legality of an investment in the common stock by you under applicable law. You should consult with your own legal advisors as to the legal, tax, business, financial and related aspects of a purchase of our common stock.</w:t>
      </w:r>
    </w:p>
    <w:p>
      <w:pPr>
        <w:spacing w:after="0" w:line="10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Information contained on or accessible through our website, www.evolutionpetroleum.com, does not constitute part of this prospectus supplement or the accompanying prospectus.</w:t>
      </w:r>
    </w:p>
    <w:p>
      <w:pPr>
        <w:spacing w:after="0" w:line="9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In this prospectus supplement, references to the “Company,” “we,” “us,” and “our” refer to Evolution Petroleum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contain forward-looking statements within the meaning of the Private Securities Litigation Reform Act of 1995, Section 27A of the Securities Act, and Section 21E of the Exchange Act.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w:t>
      </w:r>
    </w:p>
    <w:p>
      <w:pPr>
        <w:spacing w:after="0" w:line="296" w:lineRule="exact"/>
        <w:rPr>
          <w:sz w:val="20"/>
          <w:szCs w:val="20"/>
          <w:color w:val="auto"/>
        </w:rPr>
      </w:pPr>
    </w:p>
    <w:p>
      <w:pPr>
        <w:ind w:left="1800" w:right="59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plans, strategies and objectives, including anticipated development activity and capital spending;</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capital structure, anticipated sources of funding, growth in long-term shareholder value and ability to preserve balance sheet strength;</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future acquisitions and the need for additional capital to complete future acquisitions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multi-basin portfolio, including operational and commodity flexibility;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cash flow and the application of excess cash flows to pay dividends;</w:t>
      </w:r>
    </w:p>
    <w:p>
      <w:pPr>
        <w:spacing w:after="0" w:line="1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natural gas liquids (“</w:t>
      </w:r>
      <w:r>
        <w:rPr>
          <w:rFonts w:ascii="Times New Roman" w:cs="Times New Roman" w:eastAsia="Times New Roman" w:hAnsi="Times New Roman"/>
          <w:sz w:val="18"/>
          <w:szCs w:val="18"/>
          <w:b w:val="1"/>
          <w:bCs w:val="1"/>
          <w:color w:val="auto"/>
        </w:rPr>
        <w:t>NGLs</w:t>
      </w:r>
      <w:r>
        <w:rPr>
          <w:rFonts w:ascii="Times New Roman" w:cs="Times New Roman" w:eastAsia="Times New Roman" w:hAnsi="Times New Roman"/>
          <w:sz w:val="18"/>
          <w:szCs w:val="18"/>
          <w:color w:val="auto"/>
        </w:rPr>
        <w:t>”) production and commodity mix;</w:t>
      </w:r>
    </w:p>
    <w:p>
      <w:pPr>
        <w:spacing w:after="0" w:line="12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oil, natural gas and NGL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drilling and completions activity;</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operational risks by our third-party operators, including accidents, equipment failures, fires, and releases of toxic or hazardous materials;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NGL reserves and recoverable quantities;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the availability of other sources of liquidity to meet financial obligations throughout commodity price cycles;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obtain funding based on environmental, social, and corporate governance performance;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expense;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debt and financial ratios, finance growth and comply with financial covenants;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outcomes of risk management programs, including exposure to commodity price and interest rate fluctuations, the volume of oil and natural gas production hedged, and the markets or physical sales locations hedged;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changes in federal, state, provincial and local, rules and regulations;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compliance with current or proposed environmental requirements, including the costs thereof;</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greenhouse gas emissions limitations and renewable energy incentives;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provisions for abandonment and site reclamation costs;</w:t>
      </w:r>
    </w:p>
    <w:p>
      <w:pPr>
        <w:spacing w:after="0" w:line="11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flexibility, discipline and ability to respond to evolving market conditions;</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future dividends and any anticipated repurchase of our outstanding common shares;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provision for taxes and legal claims;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cost inflation and expected cost structures, including expected operating, transportation, processing and labor expenses;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competitiveness relative to our peers, including with respect to capital, materials, people, assets and production;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inventories and global demand for oil, natural gas and NGLs;</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oil and natural gas industry generally, including impacts from changes to the geopolitical environment;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events;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staffing levels;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payments related to our commitments, obligations and contingencies, and the ability to satisfy the same;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accounting and tax pronouncements, rule changes and standards.</w:t>
      </w:r>
    </w:p>
    <w:p>
      <w:pPr>
        <w:spacing w:after="0" w:line="14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You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w:t>
      </w:r>
    </w:p>
    <w:p>
      <w:pPr>
        <w:spacing w:after="0" w:line="69" w:lineRule="exact"/>
        <w:rPr>
          <w:sz w:val="20"/>
          <w:szCs w:val="20"/>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commodity prices and basis differentials;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shelf prospectuses;</w:t>
      </w:r>
    </w:p>
    <w:p>
      <w:pPr>
        <w:spacing w:after="0" w:line="10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contained in our corporate guidance included or incorporated by reference into this prospectus supplement;</w:t>
      </w:r>
    </w:p>
    <w:p>
      <w:pPr>
        <w:spacing w:after="0" w:line="40"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commodity or financial hedges and the enforceability of risk management programs;</w:t>
      </w:r>
    </w:p>
    <w:p>
      <w:pPr>
        <w:spacing w:after="0" w:line="40"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counterparties will fulfill their obligations pursuant to gathering, processing, transportation and marketing agreements;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gathering, transportation, processing and storage facilities;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tax, royalty and regulatory regimes;</w:t>
      </w:r>
    </w:p>
    <w:p>
      <w:pPr>
        <w:spacing w:after="0" w:line="103"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and projections made in light of, and generally consistent with, our historical experience and our perception of historical industry trends;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assumptions contained herein.</w:t>
      </w:r>
    </w:p>
    <w:p>
      <w:pPr>
        <w:spacing w:after="0" w:line="15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You are cautioned that the assumptions, risks and uncertainties referenced above, and in the other documents incorporated herein by reference, are not exhaustive. Although we believe the expectations represented by our forward- 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When considering any forward-looking statement, the investor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third-party operating risks and other risk factors as described under the Risk Factors sections of this prospectus supplement, the accompanying prospectus and our previously filed Annual Report on Form 10-K for the fiscal year ended June 30, 2025 and our subsequent filings with the SEC, as well as the other disclosures contained herein, therein, and as also may be described from time to time in our future reports we file with the SEC. You should also consider such information in conjunction with our consolidated financial statements and related notes and Item 7. Management’s Discussion and Analysis of Financial Condition and Results of Operations contained therein. There also may be other factors that we cannot anticipate or that are not described in this report, generally because we do not currently perceive them to be material. Such factors could cause results to differ materially from our expectations.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to update these statements other than as required by law. Investors are advised, however, to review any further disclosures we make on related subjects in our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5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about us but does not contain all the information that may be important to you. This prospectus supplement and the accompanying prospectus include or incorporate by reference specific terms of the offering and information about our business and financial data. You should carefully read this entire prospectus supplement and the accompanying prospectus, including the matters set forth under the caption “Risk Factors,” beginning on page </w:t>
      </w:r>
      <w:r>
        <w:rPr>
          <w:rFonts w:ascii="Times New Roman" w:cs="Times New Roman" w:eastAsia="Times New Roman" w:hAnsi="Times New Roman"/>
          <w:sz w:val="18"/>
          <w:szCs w:val="18"/>
          <w:i w:val="1"/>
          <w:iCs w:val="1"/>
          <w:u w:val="single" w:color="auto"/>
          <w:color w:val="0000EE"/>
        </w:rPr>
        <w:t>S-3</w:t>
      </w:r>
      <w:r>
        <w:rPr>
          <w:rFonts w:ascii="Times New Roman" w:cs="Times New Roman" w:eastAsia="Times New Roman" w:hAnsi="Times New Roman"/>
          <w:sz w:val="18"/>
          <w:szCs w:val="18"/>
          <w:i w:val="1"/>
          <w:iCs w:val="1"/>
          <w:color w:val="auto"/>
        </w:rPr>
        <w:t xml:space="preserve"> of this prospectus supplement and the information incorporated by reference into this prospectus supplement and the accompanying prospectus before making an investment decision.</w:t>
      </w:r>
    </w:p>
    <w:p>
      <w:pPr>
        <w:spacing w:after="0" w:line="115" w:lineRule="exact"/>
        <w:rPr>
          <w:sz w:val="20"/>
          <w:szCs w:val="20"/>
          <w:color w:val="auto"/>
        </w:rPr>
      </w:pPr>
    </w:p>
    <w:p>
      <w:pPr>
        <w:ind w:left="128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estimates of our proved oil and natural gas reserves as of June 30, 2025 that are incorporated by reference into this prospectus supplement are derived from the reports of DeGolyer &amp; MacNaughton and Cawley, Gillespie &amp; Associates, Inc., our independent reservoir engineering firms.</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8"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We are an independent energy company focused on maximizing returns to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 and other exploitation efforts on our oil and natural gas properties.</w:t>
      </w:r>
    </w:p>
    <w:p>
      <w:pPr>
        <w:spacing w:after="0" w:line="116" w:lineRule="exact"/>
        <w:rPr>
          <w:sz w:val="20"/>
          <w:szCs w:val="20"/>
          <w:color w:val="auto"/>
        </w:rPr>
      </w:pPr>
    </w:p>
    <w:p>
      <w:pPr>
        <w:ind w:left="1280" w:right="759" w:firstLine="360"/>
        <w:spacing w:after="0" w:line="254" w:lineRule="auto"/>
        <w:rPr>
          <w:sz w:val="20"/>
          <w:szCs w:val="20"/>
          <w:color w:val="auto"/>
        </w:rPr>
      </w:pPr>
      <w:r>
        <w:rPr>
          <w:rFonts w:ascii="Times New Roman" w:cs="Times New Roman" w:eastAsia="Times New Roman" w:hAnsi="Times New Roman"/>
          <w:sz w:val="18"/>
          <w:szCs w:val="18"/>
          <w:color w:val="auto"/>
        </w:rPr>
        <w:t>Our oil and natural gas properties consist of non-operated working and mineral interests in the following areas: the SCOOP and STACK plays of the Anadarko Basin located in central Oklahoma; the Chaveroo Field in Chaves and Roosevelt Counties of New Mexico; the Jonah 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CO2 enhanced oil recovery project; the TexMex interests located in Lea, Eddy and Chaves Counties, New Mexico and Stephens County, Texas; as well as small overriding royalty interests in four onshore Texas wells.</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519" w:firstLine="360"/>
        <w:spacing w:after="0" w:line="256" w:lineRule="auto"/>
        <w:rPr>
          <w:sz w:val="20"/>
          <w:szCs w:val="20"/>
          <w:color w:val="auto"/>
        </w:rPr>
      </w:pPr>
      <w:r>
        <w:rPr>
          <w:rFonts w:ascii="Times New Roman" w:cs="Times New Roman" w:eastAsia="Times New Roman" w:hAnsi="Times New Roman"/>
          <w:sz w:val="18"/>
          <w:szCs w:val="18"/>
          <w:color w:val="auto"/>
        </w:rPr>
        <w:t>We are a Nevada corporation. Our principal executive offices are located at 1155 Dairy Ashford Road, Suite 425, Houston, Texas 77079. Our telephone number is (713) 935-0122. We maintain a website at www.evolutionpetroleum.com, which contains information about us. Our website and the information contained on it and connected to it is not incorporated by reference into this prospectus and does not otherwise constitute part of this prospectus. Our common stock is listed and traded on the NYSE American under the symbol “EPM.”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5380" w:type="dxa"/>
            <w:vAlign w:val="bottom"/>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32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Evolution Petroleum Corporation</w:t>
            </w:r>
          </w:p>
        </w:tc>
      </w:tr>
      <w:tr>
        <w:trPr>
          <w:trHeight w:val="30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w:t>
            </w:r>
          </w:p>
        </w:tc>
      </w:tr>
      <w:tr>
        <w:trPr>
          <w:trHeight w:val="234"/>
        </w:trPr>
        <w:tc>
          <w:tcPr>
            <w:tcW w:w="2780" w:type="dxa"/>
            <w:vAlign w:val="bottom"/>
          </w:tcPr>
          <w:p>
            <w:pPr>
              <w:spacing w:after="0"/>
              <w:rPr>
                <w:sz w:val="20"/>
                <w:szCs w:val="20"/>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up to $30,000,000.</w:t>
            </w:r>
          </w:p>
        </w:tc>
      </w:tr>
      <w:tr>
        <w:trPr>
          <w:trHeight w:val="30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to be Outstanding</w:t>
            </w: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This Offering</w:t>
            </w: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42,320,917 Shares, assuming sales of 7,317,073 Shares in this</w:t>
            </w:r>
          </w:p>
        </w:tc>
      </w:tr>
      <w:tr>
        <w:trPr>
          <w:trHeight w:val="216"/>
        </w:trPr>
        <w:tc>
          <w:tcPr>
            <w:tcW w:w="2780" w:type="dxa"/>
            <w:vAlign w:val="bottom"/>
          </w:tcPr>
          <w:p>
            <w:pPr>
              <w:spacing w:after="0"/>
              <w:rPr>
                <w:sz w:val="18"/>
                <w:szCs w:val="18"/>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offering at an offering price of $4.10 per share, which was the last</w:t>
            </w:r>
          </w:p>
        </w:tc>
      </w:tr>
      <w:tr>
        <w:trPr>
          <w:trHeight w:val="216"/>
        </w:trPr>
        <w:tc>
          <w:tcPr>
            <w:tcW w:w="2780" w:type="dxa"/>
            <w:vAlign w:val="bottom"/>
          </w:tcPr>
          <w:p>
            <w:pPr>
              <w:spacing w:after="0"/>
              <w:rPr>
                <w:sz w:val="18"/>
                <w:szCs w:val="18"/>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report sale price of our common stock on NYSE on February 6,</w:t>
            </w:r>
          </w:p>
        </w:tc>
      </w:tr>
      <w:tr>
        <w:trPr>
          <w:trHeight w:val="216"/>
        </w:trPr>
        <w:tc>
          <w:tcPr>
            <w:tcW w:w="2780" w:type="dxa"/>
            <w:vAlign w:val="bottom"/>
          </w:tcPr>
          <w:p>
            <w:pPr>
              <w:spacing w:after="0"/>
              <w:rPr>
                <w:sz w:val="18"/>
                <w:szCs w:val="18"/>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2026. The actual number of shares issued will vary depending on</w:t>
            </w:r>
          </w:p>
        </w:tc>
      </w:tr>
      <w:tr>
        <w:trPr>
          <w:trHeight w:val="216"/>
        </w:trPr>
        <w:tc>
          <w:tcPr>
            <w:tcW w:w="2780" w:type="dxa"/>
            <w:vAlign w:val="bottom"/>
          </w:tcPr>
          <w:p>
            <w:pPr>
              <w:spacing w:after="0"/>
              <w:rPr>
                <w:sz w:val="18"/>
                <w:szCs w:val="18"/>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how many shares of our common stock we choose to sell and the</w:t>
            </w:r>
          </w:p>
        </w:tc>
      </w:tr>
      <w:tr>
        <w:trPr>
          <w:trHeight w:val="234"/>
        </w:trPr>
        <w:tc>
          <w:tcPr>
            <w:tcW w:w="2780" w:type="dxa"/>
            <w:vAlign w:val="bottom"/>
          </w:tcPr>
          <w:p>
            <w:pPr>
              <w:spacing w:after="0"/>
              <w:rPr>
                <w:sz w:val="20"/>
                <w:szCs w:val="20"/>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prices at which such sales occur.</w:t>
            </w:r>
          </w:p>
        </w:tc>
      </w:tr>
      <w:tr>
        <w:trPr>
          <w:trHeight w:val="30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At the market offering” made from time to time through or to the</w:t>
            </w:r>
          </w:p>
        </w:tc>
      </w:tr>
      <w:tr>
        <w:trPr>
          <w:trHeight w:val="216"/>
        </w:trPr>
        <w:tc>
          <w:tcPr>
            <w:tcW w:w="2780" w:type="dxa"/>
            <w:vAlign w:val="bottom"/>
          </w:tcPr>
          <w:p>
            <w:pPr>
              <w:spacing w:after="0"/>
              <w:rPr>
                <w:sz w:val="18"/>
                <w:szCs w:val="18"/>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Agents. See the section of this prospectus supplement entitled “Plan</w:t>
            </w:r>
          </w:p>
        </w:tc>
      </w:tr>
      <w:tr>
        <w:trPr>
          <w:trHeight w:val="194"/>
        </w:trPr>
        <w:tc>
          <w:tcPr>
            <w:tcW w:w="2780" w:type="dxa"/>
            <w:vAlign w:val="bottom"/>
          </w:tcPr>
          <w:p>
            <w:pPr>
              <w:spacing w:after="0"/>
              <w:rPr>
                <w:sz w:val="16"/>
                <w:szCs w:val="16"/>
                <w:color w:val="auto"/>
              </w:rPr>
            </w:pPr>
          </w:p>
        </w:tc>
        <w:tc>
          <w:tcPr>
            <w:tcW w:w="5380" w:type="dxa"/>
            <w:vAlign w:val="bottom"/>
            <w:gridSpan w:val="7"/>
          </w:tcPr>
          <w:p>
            <w:pPr>
              <w:ind w:left="240"/>
              <w:spacing w:after="0" w:line="194" w:lineRule="exact"/>
              <w:rPr>
                <w:sz w:val="20"/>
                <w:szCs w:val="20"/>
                <w:color w:val="auto"/>
              </w:rPr>
            </w:pPr>
            <w:r>
              <w:rPr>
                <w:rFonts w:ascii="Times New Roman" w:cs="Times New Roman" w:eastAsia="Times New Roman" w:hAnsi="Times New Roman"/>
                <w:sz w:val="18"/>
                <w:szCs w:val="18"/>
                <w:color w:val="auto"/>
              </w:rPr>
              <w:t xml:space="preserve">of Distribution” beginning on page </w:t>
            </w:r>
            <w:r>
              <w:rPr>
                <w:rFonts w:ascii="Times New Roman" w:cs="Times New Roman" w:eastAsia="Times New Roman" w:hAnsi="Times New Roman"/>
                <w:sz w:val="18"/>
                <w:szCs w:val="18"/>
                <w:color w:val="0000EE"/>
              </w:rPr>
              <w:t>S-7.</w:t>
            </w:r>
          </w:p>
        </w:tc>
      </w:tr>
      <w:tr>
        <w:trPr>
          <w:trHeight w:val="20"/>
        </w:trPr>
        <w:tc>
          <w:tcPr>
            <w:tcW w:w="2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general</w:t>
            </w:r>
          </w:p>
        </w:tc>
      </w:tr>
      <w:tr>
        <w:trPr>
          <w:trHeight w:val="216"/>
        </w:trPr>
        <w:tc>
          <w:tcPr>
            <w:tcW w:w="2780" w:type="dxa"/>
            <w:vAlign w:val="bottom"/>
          </w:tcPr>
          <w:p>
            <w:pPr>
              <w:spacing w:after="0"/>
              <w:rPr>
                <w:sz w:val="18"/>
                <w:szCs w:val="18"/>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corporate purposes, including funding acquisitions and to redeem or</w:t>
            </w:r>
          </w:p>
        </w:tc>
      </w:tr>
      <w:tr>
        <w:trPr>
          <w:trHeight w:val="216"/>
        </w:trPr>
        <w:tc>
          <w:tcPr>
            <w:tcW w:w="2780" w:type="dxa"/>
            <w:vAlign w:val="bottom"/>
          </w:tcPr>
          <w:p>
            <w:pPr>
              <w:spacing w:after="0"/>
              <w:rPr>
                <w:sz w:val="18"/>
                <w:szCs w:val="18"/>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repay outstanding indebtedness. See the section of this prospectus</w:t>
            </w:r>
          </w:p>
        </w:tc>
      </w:tr>
      <w:tr>
        <w:trPr>
          <w:trHeight w:val="194"/>
        </w:trPr>
        <w:tc>
          <w:tcPr>
            <w:tcW w:w="2780" w:type="dxa"/>
            <w:vAlign w:val="bottom"/>
          </w:tcPr>
          <w:p>
            <w:pPr>
              <w:spacing w:after="0"/>
              <w:rPr>
                <w:sz w:val="16"/>
                <w:szCs w:val="16"/>
                <w:color w:val="auto"/>
              </w:rPr>
            </w:pPr>
          </w:p>
        </w:tc>
        <w:tc>
          <w:tcPr>
            <w:tcW w:w="5380" w:type="dxa"/>
            <w:vAlign w:val="bottom"/>
            <w:gridSpan w:val="7"/>
          </w:tcPr>
          <w:p>
            <w:pPr>
              <w:ind w:left="240"/>
              <w:spacing w:after="0" w:line="194" w:lineRule="exact"/>
              <w:rPr>
                <w:sz w:val="20"/>
                <w:szCs w:val="20"/>
                <w:color w:val="auto"/>
              </w:rPr>
            </w:pPr>
            <w:r>
              <w:rPr>
                <w:rFonts w:ascii="Times New Roman" w:cs="Times New Roman" w:eastAsia="Times New Roman" w:hAnsi="Times New Roman"/>
                <w:sz w:val="18"/>
                <w:szCs w:val="18"/>
                <w:color w:val="auto"/>
              </w:rPr>
              <w:t xml:space="preserve">supplement entitled “Use of Proceeds” beginning on page </w:t>
            </w:r>
            <w:r>
              <w:rPr>
                <w:rFonts w:ascii="Times New Roman" w:cs="Times New Roman" w:eastAsia="Times New Roman" w:hAnsi="Times New Roman"/>
                <w:sz w:val="18"/>
                <w:szCs w:val="18"/>
                <w:color w:val="0000EE"/>
              </w:rPr>
              <w:t>S-5.</w:t>
            </w:r>
          </w:p>
        </w:tc>
      </w:tr>
      <w:tr>
        <w:trPr>
          <w:trHeight w:val="34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NYSE American Symbol</w:t>
            </w:r>
          </w:p>
        </w:tc>
        <w:tc>
          <w:tcPr>
            <w:tcW w:w="466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“EPM”</w:t>
            </w:r>
          </w:p>
        </w:tc>
        <w:tc>
          <w:tcPr>
            <w:tcW w:w="3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r>
      <w:tr>
        <w:trPr>
          <w:trHeight w:val="30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An investment in our securities involves a high degree of risk.</w:t>
            </w:r>
          </w:p>
        </w:tc>
      </w:tr>
      <w:tr>
        <w:trPr>
          <w:trHeight w:val="216"/>
        </w:trPr>
        <w:tc>
          <w:tcPr>
            <w:tcW w:w="2780" w:type="dxa"/>
            <w:vAlign w:val="bottom"/>
          </w:tcPr>
          <w:p>
            <w:pPr>
              <w:spacing w:after="0"/>
              <w:rPr>
                <w:sz w:val="18"/>
                <w:szCs w:val="18"/>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Before making an investment decision, investors should carefully</w:t>
            </w:r>
          </w:p>
        </w:tc>
      </w:tr>
      <w:tr>
        <w:trPr>
          <w:trHeight w:val="216"/>
        </w:trPr>
        <w:tc>
          <w:tcPr>
            <w:tcW w:w="2780" w:type="dxa"/>
            <w:vAlign w:val="bottom"/>
          </w:tcPr>
          <w:p>
            <w:pPr>
              <w:spacing w:after="0"/>
              <w:rPr>
                <w:sz w:val="18"/>
                <w:szCs w:val="18"/>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consider the information set forth in the section of this prospectus</w:t>
            </w:r>
          </w:p>
        </w:tc>
      </w:tr>
      <w:tr>
        <w:trPr>
          <w:trHeight w:val="194"/>
        </w:trPr>
        <w:tc>
          <w:tcPr>
            <w:tcW w:w="2780" w:type="dxa"/>
            <w:vAlign w:val="bottom"/>
          </w:tcPr>
          <w:p>
            <w:pPr>
              <w:spacing w:after="0"/>
              <w:rPr>
                <w:sz w:val="16"/>
                <w:szCs w:val="16"/>
                <w:color w:val="auto"/>
              </w:rPr>
            </w:pPr>
          </w:p>
        </w:tc>
        <w:tc>
          <w:tcPr>
            <w:tcW w:w="5380" w:type="dxa"/>
            <w:vAlign w:val="bottom"/>
            <w:gridSpan w:val="7"/>
          </w:tcPr>
          <w:p>
            <w:pPr>
              <w:ind w:left="240"/>
              <w:spacing w:after="0" w:line="194" w:lineRule="exact"/>
              <w:rPr>
                <w:sz w:val="20"/>
                <w:szCs w:val="20"/>
                <w:color w:val="auto"/>
              </w:rPr>
            </w:pPr>
            <w:r>
              <w:rPr>
                <w:rFonts w:ascii="Times New Roman" w:cs="Times New Roman" w:eastAsia="Times New Roman" w:hAnsi="Times New Roman"/>
                <w:sz w:val="18"/>
                <w:szCs w:val="18"/>
                <w:color w:val="auto"/>
              </w:rPr>
              <w:t xml:space="preserve">supplement entitled “Risk Factors” beginning on page </w:t>
            </w:r>
            <w:r>
              <w:rPr>
                <w:rFonts w:ascii="Times New Roman" w:cs="Times New Roman" w:eastAsia="Times New Roman" w:hAnsi="Times New Roman"/>
                <w:sz w:val="18"/>
                <w:szCs w:val="18"/>
                <w:color w:val="0000EE"/>
              </w:rPr>
              <w:t>S-3</w:t>
            </w:r>
            <w:r>
              <w:rPr>
                <w:rFonts w:ascii="Times New Roman" w:cs="Times New Roman" w:eastAsia="Times New Roman" w:hAnsi="Times New Roman"/>
                <w:sz w:val="18"/>
                <w:szCs w:val="18"/>
                <w:color w:val="auto"/>
              </w:rPr>
              <w:t>, as well</w:t>
            </w:r>
          </w:p>
        </w:tc>
      </w:tr>
      <w:tr>
        <w:trPr>
          <w:trHeight w:val="20"/>
        </w:trPr>
        <w:tc>
          <w:tcPr>
            <w:tcW w:w="2780" w:type="dxa"/>
            <w:vAlign w:val="bottom"/>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218"/>
        </w:trPr>
        <w:tc>
          <w:tcPr>
            <w:tcW w:w="2780" w:type="dxa"/>
            <w:vAlign w:val="bottom"/>
          </w:tcPr>
          <w:p>
            <w:pPr>
              <w:spacing w:after="0"/>
              <w:rPr>
                <w:sz w:val="18"/>
                <w:szCs w:val="18"/>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as the other risks and uncertainties described in the documents that</w:t>
            </w:r>
          </w:p>
        </w:tc>
      </w:tr>
      <w:tr>
        <w:trPr>
          <w:trHeight w:val="234"/>
        </w:trPr>
        <w:tc>
          <w:tcPr>
            <w:tcW w:w="2780" w:type="dxa"/>
            <w:vAlign w:val="bottom"/>
          </w:tcPr>
          <w:p>
            <w:pPr>
              <w:spacing w:after="0"/>
              <w:rPr>
                <w:sz w:val="20"/>
                <w:szCs w:val="20"/>
                <w:color w:val="auto"/>
              </w:rPr>
            </w:pPr>
          </w:p>
        </w:tc>
        <w:tc>
          <w:tcPr>
            <w:tcW w:w="538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we file with the SEC that are incorporated herein by reference.</w:t>
            </w:r>
          </w:p>
        </w:tc>
      </w:tr>
    </w:tbl>
    <w:p>
      <w:pPr>
        <w:spacing w:after="0" w:line="130" w:lineRule="exact"/>
        <w:rPr>
          <w:sz w:val="20"/>
          <w:szCs w:val="20"/>
          <w:color w:val="auto"/>
        </w:rPr>
      </w:pPr>
    </w:p>
    <w:p>
      <w:pPr>
        <w:ind w:left="1280" w:right="759" w:firstLine="36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35,003,844 shares issued and outstanding as of December 31, 2025, and excludes, as of such date the following:</w:t>
      </w:r>
    </w:p>
    <w:p>
      <w:pPr>
        <w:spacing w:after="0" w:line="54" w:lineRule="exact"/>
        <w:rPr>
          <w:sz w:val="20"/>
          <w:szCs w:val="20"/>
          <w:color w:val="auto"/>
        </w:rPr>
      </w:pPr>
    </w:p>
    <w:p>
      <w:pPr>
        <w:ind w:left="1820" w:right="73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2,061,776 shares of our common stock reserved for issuance under our Long-Term Incentive Pay program; and</w:t>
      </w:r>
    </w:p>
    <w:p>
      <w:pPr>
        <w:spacing w:after="0" w:line="53" w:lineRule="exact"/>
        <w:rPr>
          <w:rFonts w:ascii="Times New Roman" w:cs="Times New Roman" w:eastAsia="Times New Roman" w:hAnsi="Times New Roman"/>
          <w:sz w:val="18"/>
          <w:szCs w:val="18"/>
          <w:color w:val="auto"/>
        </w:rPr>
      </w:pPr>
    </w:p>
    <w:p>
      <w:pPr>
        <w:ind w:left="1820" w:right="93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241,613 shares of our common stock underlying outstanding unvested contingent performance share units.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360"/>
        <w:spacing w:after="0" w:line="24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An investment in our securities involves a high degree of risk. Before deciding whether to invest in our securities, you should consider carefully all the information we have included or incorporated by reference into this prospectus supplement and the accompanying prospectus and other information which may be incorporated by reference into this prospectus supplement and the accompanying prospectus as provided under “Incorporation by Reference.” In particular, you should consider the risk factors under the heading “Risk Factors” in our </w:t>
      </w:r>
      <w:hyperlink r:id="rId35">
        <w:r>
          <w:rPr>
            <w:rFonts w:ascii="Times New Roman" w:cs="Times New Roman" w:eastAsia="Times New Roman" w:hAnsi="Times New Roman"/>
            <w:sz w:val="18"/>
            <w:szCs w:val="18"/>
            <w:i w:val="1"/>
            <w:iCs w:val="1"/>
            <w:u w:val="single" w:color="auto"/>
            <w:color w:val="0000EE"/>
          </w:rPr>
          <w:t>Annual Report on Form 10-K for the year ended June 30, 2025</w:t>
        </w:r>
      </w:hyperlink>
      <w:r>
        <w:rPr>
          <w:rFonts w:ascii="Times New Roman" w:cs="Times New Roman" w:eastAsia="Times New Roman" w:hAnsi="Times New Roman"/>
          <w:sz w:val="18"/>
          <w:szCs w:val="18"/>
          <w:i w:val="1"/>
          <w:iCs w:val="1"/>
          <w:color w:val="auto"/>
        </w:rPr>
        <w:t>, which is incorporated by reference into this prospectus supplement and accompanying prospectus, as those risk factors are amended or supplemented by our subsequent filings with the SEC. This prospectus supplement also contains forward- looking statements that involve risks and uncertainties. Please read “Cautionary Statement Concerning Forward-Looking Statements.” Our actual results could differ materially from those anticipated in the forward-looking statements as a result of certain factors, including the risks described in the documents incorporated by reference into this prospectus supplement and the accompanying prospectus. There may be additional risks that we do not presently know of or that we currently believe are immaterial, which could also impair our business and financial position. If any of these risks occur, this could expose us to liability, and our business, prospects, financial condition or results of operation could be adversely affected. As a result, you could lose all or part of your investment.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Common Stock</w:t>
      </w:r>
    </w:p>
    <w:p>
      <w:pPr>
        <w:spacing w:after="0" w:line="162" w:lineRule="exact"/>
        <w:rPr>
          <w:sz w:val="20"/>
          <w:szCs w:val="20"/>
          <w:color w:val="auto"/>
        </w:rPr>
      </w:pPr>
    </w:p>
    <w:p>
      <w:pPr>
        <w:ind w:left="1260" w:right="519" w:firstLine="36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discussion of risks related to our business and operations and our common stock, please see “Item 1A. Risk Factors” and “Item 7. Management’s Discussion and Analysis of Financial Condition and Results of Operations” in our </w:t>
      </w:r>
      <w:hyperlink r:id="rId35">
        <w:r>
          <w:rPr>
            <w:rFonts w:ascii="Times New Roman" w:cs="Times New Roman" w:eastAsia="Times New Roman" w:hAnsi="Times New Roman"/>
            <w:sz w:val="18"/>
            <w:szCs w:val="18"/>
            <w:u w:val="single" w:color="auto"/>
            <w:color w:val="0000EE"/>
          </w:rPr>
          <w:t>Annual Report on Form 10-K for the year ended 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as well as similar disclosures contained in our subsequent filings with the SEC that are incorporated by reference into this prospectus supplement. See “Incorporation by Reference.”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60" w:right="6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as to the use of the proceeds from this offering, and may not use the proceeds effectively.</w:t>
      </w:r>
    </w:p>
    <w:p>
      <w:pPr>
        <w:spacing w:after="0" w:line="90"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may not improve our business, financial condition or results of operations or enhance the value of our common stock. Our failure to apply these funds effectively could have a material adverse effect on our business and cause the price of our common stock to decline.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Resales of our common stock in the public market following this offering may cause the trading price to fall.</w:t>
      </w:r>
    </w:p>
    <w:p>
      <w:pPr>
        <w:spacing w:after="0" w:line="16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Resales of a substantial number of shares of our common stock could depress the trading price of our common stock. This offering of new shares of our common stock could result in resales of our common stock by our current stockholders concerned about the potential dilution of their holdings. If our stockholders sell substantial amounts of our common stock in the public market following the offering contemplated by this prospectus supplement, the trading price of our common stock could fall.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w:t>
      </w:r>
    </w:p>
    <w:p>
      <w:pPr>
        <w:spacing w:after="0" w:line="69"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results of operations;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fluctuations in the commodity prices of oil and natural gas;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and trends in the oil and natural gas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demands on institutional funds that hold our stock;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actual number of shares we will issue under the Sales Agreement, at any one time or in total, is uncertain.</w:t>
      </w:r>
    </w:p>
    <w:p>
      <w:pPr>
        <w:spacing w:after="0" w:line="17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instructions to the Agents to sell shares of our common stock at any time throughout the term of the Sales Agreement. The number of shares that are sold through the Agents after our instruction will fluctuate based on a number of factors, including the market price of our common stock during the sales period, the limits we set with the Agents in any instruction to sell shares, and the demand for our common stock during the sales period. Because the price per share of each share sold will fluctuate during this offering, it is not currently possible to predict the number of shares that will be sold or the gross proceeds to be raised in connection with those sales.</w:t>
      </w:r>
    </w:p>
    <w:p>
      <w:pPr>
        <w:spacing w:after="0" w:line="188" w:lineRule="exact"/>
        <w:rPr>
          <w:sz w:val="20"/>
          <w:szCs w:val="20"/>
          <w:color w:val="auto"/>
        </w:rPr>
      </w:pPr>
    </w:p>
    <w:p>
      <w:pPr>
        <w:ind w:left="126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9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Investors may experience a decline in the value of the shares they purchase in this offering as a result of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$30,000,000 from time to time. Because there is no minimum offering amount required as a condition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close this offering, the actual total public offering amount, commissions, and proceeds to us, if any, are not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determinable at this time. There can be no assurance that we will sell any shares of our common stock under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or fully utilize the Sales Agreement as a source of financing.</w:t>
      </w:r>
    </w:p>
    <w:p>
      <w:pPr>
        <w:spacing w:after="0" w:line="13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including funding acquisitions and to redeem or repay outstanding indebtedness. The expected use of the net proceeds from this offering represents our intentions based upon our current plans and business conditions, which could change in the future as our plans and business conditions evolve. Our management will have broad discretion in applying the net proceeds from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Our Board declared cash dividends on our common stock for the first time in December 2013 and we have declared and paid quarterly cash dividends since that time. However, there is no certainty that dividends will be declared by our Board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We have entered into the Sales Agreement with the Agents under which we may issue and sell Common Stock from time to time in an amount up to $30,000,000 through or to the Lead Agent, acting as agent or principal. Sales of our Common Stock, if any, under this prospectus supplement and the accompanying prospectus will be made at market prices by any method deemed to be an “at the market offering” as defined in Rule 415(a)(4) under the Securities Act.</w:t>
      </w:r>
    </w:p>
    <w:p>
      <w:pPr>
        <w:spacing w:after="0" w:line="11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Each time that we wish to issue and sell our Common Stock under the Sales Agreement, we will provide the Lead Agent with a placement notice describing the amount of Common Stock to be sold, the time period during which sales are requested to be made, any limitation on the amount of Common Stock that may be sold in any single day, any minimum price below which sales may not be made or any minimum price requested for sales in a given time period and any other instructions relevant to such requested sales.</w:t>
      </w:r>
    </w:p>
    <w:p>
      <w:pPr>
        <w:spacing w:after="0" w:line="110" w:lineRule="exact"/>
        <w:rPr>
          <w:sz w:val="20"/>
          <w:szCs w:val="20"/>
          <w:color w:val="auto"/>
        </w:rPr>
      </w:pPr>
    </w:p>
    <w:p>
      <w:pPr>
        <w:ind w:left="1260" w:right="659" w:firstLine="360"/>
        <w:spacing w:after="0" w:line="244" w:lineRule="auto"/>
        <w:rPr>
          <w:sz w:val="20"/>
          <w:szCs w:val="20"/>
          <w:color w:val="auto"/>
        </w:rPr>
      </w:pPr>
      <w:r>
        <w:rPr>
          <w:rFonts w:ascii="Times New Roman" w:cs="Times New Roman" w:eastAsia="Times New Roman" w:hAnsi="Times New Roman"/>
          <w:sz w:val="18"/>
          <w:szCs w:val="18"/>
          <w:color w:val="auto"/>
        </w:rPr>
        <w:t>Upon receipt of a placement notice, the Lead Agent, acting as our sales agent, will use commercially reasonable efforts, consistent with its normal trading and sales practices and applicable state and federal laws, rules and regulations and the rules of the NYSE, to sell our Common Stock under the terms and subject to the conditions of the placement notice and the Sales Agreement. We or the Lead Agent may suspend the offering of Common Stock pursuant to a placement notice upon notice and subject to other conditions.</w:t>
      </w:r>
    </w:p>
    <w:p>
      <w:pPr>
        <w:spacing w:after="0" w:line="32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first business day that is also a trading day following the date on which any sales were made in return for payment of the net proceeds to us. There are no arrangements to place any of the proceeds of this offering in an escrow, trust or similar account. Sales of our Common Stock as contemplated in this prospectus supplement will be settled through the facilities of The Depository Trust Company or by such other means as we and the Lead Agent may agree upon.</w:t>
      </w:r>
    </w:p>
    <w:p>
      <w:pPr>
        <w:spacing w:after="0" w:line="11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We will pay the Lead Agent commissions for its services in acting as our sales agent in the sale of our Common Stock pursuant to the Sales Agreement. The Lead Agent will be entitled to compensation at a fixed commission rate of 3.00% of the gross proceeds from the sale of our Common Stock on our behalf pursuant to the Sales Agreement. We have agreed to reimburse the Agents for their reasonable and documented out-of-pocket expenses (including but not limited to the reasonable and documented fees and expenses of its legal counsel) in an amount not to exceed $50,000 in connection with entering into the Sales Agreement and for their reasonable and documented out-of-pocket expenses related to quarterly maintenance of the Sales Agreement (including but not limited to the reasonable and documented fees and expenses of its legal counsel) on a quarterly basis in an amount not to exceed $7,500.</w:t>
      </w:r>
    </w:p>
    <w:p>
      <w:pPr>
        <w:spacing w:after="0" w:line="120"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We estimate that the total expenses for commencement of this offering, excluding compensation payable to the Lead Agent and certain expenses reimbursable to the Agents under the terms of the Sales Agreement, will be approximately $300,000. 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Because there are no minimum sale requirements as a condition to this offering, the actual total public offering price, commissions and net proceeds to us, if any, are not determinable at this time. The actual dollar amount and shares of our Common Stock we sell through this prospectus supplement will be dependent, among other things, on market conditions and our capital raising requirements.</w:t>
      </w:r>
    </w:p>
    <w:p>
      <w:pPr>
        <w:spacing w:after="0" w:line="11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sale of our Common Stock on our behalf, the Agents will be deemed to be an “underwriter” within the meaning of the Securities Act, and the compensation will be deemed to be underwriting commissions or discounts. We have agreed to provide indemnification and contribution to the Agent against certain civil liabilities, including liabilities under the Securities Act.</w:t>
      </w:r>
    </w:p>
    <w:p>
      <w:pPr>
        <w:spacing w:after="0" w:line="11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Agents and their affiliates may provide various investment banking, commercial banking and other financial services to us and our affiliates, for which services they may in the future receive customary fees. In the course of its business, the Agents may actively trade our securities for their own accounts or for the accounts of customers, and, accordingly, the Agents may at any time hold long or short positions in such securities. The Agents will not engage in any market making activities involving our Common Stock while the offering is ongoing under this prospectus supplement if such activity would be prohibited under</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Regulation M or other anti-manipulation rules under the Securities Act. The Agents also will not engage in any transactions that stabilize our Common Stock.</w:t>
      </w:r>
    </w:p>
    <w:p>
      <w:pPr>
        <w:spacing w:after="0" w:line="94"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 offering pursuant to the Sales Agreement will terminate upon the earlier of (i) the sale of all of our Common Stock subject to the Sales Agreement and (ii) termination of the Sales Agreement as permitted therein. We may terminate the Sales Agreement in our sole discretion at any time by giving five days’ prior notice to the Agents. The Agents may terminate the Sales Agreement as to themselves under the circumstances specified in the Sales Agreement and in their sole discretion at any time by giving five days’ prior notice to us.</w:t>
      </w:r>
    </w:p>
    <w:p>
      <w:pPr>
        <w:spacing w:after="0" w:line="33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 electronic format may be made available on a website maintained by the Agents, and the Agents may distribute this prospectus supplement and the accompanying prospectus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validity of the issuance of the common stock and certain other legal matters in connection with this offering will be passed upon for us by Fennemore Craig, P.C., Reno, Nevada. Additional matters will be passed upon for the Company by Mayer Brown LLP. Certain matters will be passed upon for the Agents by Porter Hedges LLP, Houston,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Evolution Petroleum Corporation incorporated in this prospectus by reference from the Company’s Annual Report on Form 10-K for the year ended June 30, 2025, have been audited by Baker Tilly US, LLP,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16" w:lineRule="exact"/>
        <w:rPr>
          <w:sz w:val="20"/>
          <w:szCs w:val="20"/>
          <w:color w:val="auto"/>
        </w:rPr>
      </w:pPr>
    </w:p>
    <w:p>
      <w:pPr>
        <w:ind w:left="1260" w:right="47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estimates of the oil and gas reserves for Evolution Petroleum Corporation and subsidiaries and related future net cash flows and the present values thereof incorporated by reference into this prospectus supplement from the Company’s </w:t>
      </w:r>
      <w:hyperlink r:id="rId35">
        <w:r>
          <w:rPr>
            <w:rFonts w:ascii="Times New Roman" w:cs="Times New Roman" w:eastAsia="Times New Roman" w:hAnsi="Times New Roman"/>
            <w:sz w:val="18"/>
            <w:szCs w:val="18"/>
            <w:u w:val="single" w:color="auto"/>
            <w:color w:val="0000EE"/>
          </w:rPr>
          <w:t>Annual Report on Form 10-K for the year ended 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were based in part upon engineering reports prepared by DeGolyer and MacNaughton and Cawley, Gillespie and Associates, Inc., both independent petroleum engineers. These estimates are included and incorporated herein in reliance on the authority of such firms as experts in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Exchange Act and, in accordance therewith, file periodic reports, proxy statements, and other information with the SEC. Such periodic reports, proxy statements and other information are available at the website of the SEC at http://www.sec.gov. We also furnish our stockholders with annual reports containing our financial statements audited by an independent registered public accounting firm and quarterly reports containing our unaudited financial information. We maintain a website at www.evolutionpetroleum.com. You may access our Annual Report on Form 10-K, Quarterly Reports on Form 10-Q, Current Reports on Form 8-K, and amendments to those reports filed or furnished pursuant to Section 13(a) or 15(d) of the Exchange Act with the SEC free of charge at our website as soon as reasonably practicable after this material is electronically filed with, or furnished to, the SEC. Information contained on, or that is or becomes accessible through, our website does not constitute a part of this prospectus supplement. The reference to our website or web address does not constitute incorporation by reference of the information contained at that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an important part of this prospectus supplement and the accompanying prospectus, and information that we file later with the SEC will automatically update and supersede this information. We incorporate by reference the documents listed below and any future filings made with the SEC under Sections 13(a), 13(c), 14 or 15(d) of the Exchange Act from the date of the prospectus supplement until all of the shares of our common stock offered hereby have been sold or the offering is otherwise terminated (in each case, other than any portions of any such documents that are not deemed “filed” under the Exchange Act in accordance with the Exchange Act and applicable SEC rules):</w:t>
      </w:r>
    </w:p>
    <w:p>
      <w:pPr>
        <w:spacing w:after="0" w:line="80" w:lineRule="exact"/>
        <w:rPr>
          <w:sz w:val="20"/>
          <w:szCs w:val="20"/>
          <w:color w:val="auto"/>
        </w:rPr>
      </w:pPr>
    </w:p>
    <w:p>
      <w:pPr>
        <w:ind w:left="1800" w:right="47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35">
        <w:r>
          <w:rPr>
            <w:rFonts w:ascii="Times New Roman" w:cs="Times New Roman" w:eastAsia="Times New Roman" w:hAnsi="Times New Roman"/>
            <w:sz w:val="18"/>
            <w:szCs w:val="18"/>
            <w:u w:val="single" w:color="auto"/>
            <w:color w:val="0000EE"/>
          </w:rPr>
          <w:t>Annual Report on Form 10-K for the fiscal year ended June 30, 2025</w:t>
        </w:r>
      </w:hyperlink>
      <w:r>
        <w:rPr>
          <w:rFonts w:ascii="Times New Roman" w:cs="Times New Roman" w:eastAsia="Times New Roman" w:hAnsi="Times New Roman"/>
          <w:sz w:val="18"/>
          <w:szCs w:val="18"/>
          <w:color w:val="auto"/>
        </w:rPr>
        <w:t xml:space="preserve">, filed with the SEC on September 17, 2025 (including the portions of our </w:t>
      </w:r>
      <w:hyperlink r:id="rId45">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filed with the SEC on October 23, 2025, incorporated by reference into the Form 10-K);</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September 30, 2025, filed with the SEC on </w:t>
      </w:r>
      <w:hyperlink r:id="rId46">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auto"/>
        </w:rPr>
        <w:t xml:space="preserve">, and December 31, 2025, filed with the SEC on </w:t>
      </w:r>
      <w:hyperlink r:id="rId47">
        <w:r>
          <w:rPr>
            <w:rFonts w:ascii="Times New Roman" w:cs="Times New Roman" w:eastAsia="Times New Roman" w:hAnsi="Times New Roman"/>
            <w:sz w:val="18"/>
            <w:szCs w:val="18"/>
            <w:u w:val="single" w:color="auto"/>
            <w:color w:val="0000EE"/>
          </w:rPr>
          <w:t>February 11, 2026</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8">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December 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0">
        <w:r>
          <w:rPr>
            <w:rFonts w:ascii="Times New Roman" w:cs="Times New Roman" w:eastAsia="Times New Roman" w:hAnsi="Times New Roman"/>
            <w:sz w:val="18"/>
            <w:szCs w:val="18"/>
            <w:u w:val="single" w:color="auto"/>
            <w:color w:val="0000EE"/>
          </w:rPr>
          <w:t>February 10,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jc w:val="both"/>
        <w:ind w:left="1800" w:right="59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July 13, 2006, and any amendment or report that may be filed from time to time for the purpose of updating, changing or modifying the description of our common stock.</w:t>
      </w:r>
    </w:p>
    <w:p>
      <w:pPr>
        <w:spacing w:after="0" w:line="108" w:lineRule="exact"/>
        <w:rPr>
          <w:rFonts w:ascii="Times New Roman" w:cs="Times New Roman" w:eastAsia="Times New Roman" w:hAnsi="Times New Roman"/>
          <w:sz w:val="18"/>
          <w:szCs w:val="18"/>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81" w:lineRule="exact"/>
        <w:rPr>
          <w:rFonts w:ascii="Times New Roman" w:cs="Times New Roman" w:eastAsia="Times New Roman" w:hAnsi="Times New Roman"/>
          <w:sz w:val="18"/>
          <w:szCs w:val="18"/>
          <w:color w:val="auto"/>
        </w:rPr>
      </w:pPr>
    </w:p>
    <w:p>
      <w:pPr>
        <w:ind w:left="4080"/>
        <w:spacing w:after="0"/>
        <w:rPr>
          <w:sz w:val="20"/>
          <w:szCs w:val="20"/>
          <w:color w:val="auto"/>
        </w:rPr>
      </w:pPr>
      <w:r>
        <w:rPr>
          <w:rFonts w:ascii="Times New Roman" w:cs="Times New Roman" w:eastAsia="Times New Roman" w:hAnsi="Times New Roman"/>
          <w:sz w:val="18"/>
          <w:szCs w:val="18"/>
          <w:color w:val="auto"/>
        </w:rPr>
        <w:t>Evolution Petroleum Corporation</w:t>
      </w:r>
    </w:p>
    <w:p>
      <w:pPr>
        <w:spacing w:after="0" w:line="27" w:lineRule="exact"/>
        <w:rPr>
          <w:rFonts w:ascii="Times New Roman" w:cs="Times New Roman" w:eastAsia="Times New Roman" w:hAnsi="Times New Roman"/>
          <w:sz w:val="18"/>
          <w:szCs w:val="18"/>
          <w:color w:val="auto"/>
        </w:rPr>
      </w:pPr>
    </w:p>
    <w:p>
      <w:pPr>
        <w:ind w:left="3960"/>
        <w:spacing w:after="0"/>
        <w:rPr>
          <w:sz w:val="20"/>
          <w:szCs w:val="20"/>
          <w:color w:val="auto"/>
        </w:rPr>
      </w:pPr>
      <w:r>
        <w:rPr>
          <w:rFonts w:ascii="Times New Roman" w:cs="Times New Roman" w:eastAsia="Times New Roman" w:hAnsi="Times New Roman"/>
          <w:sz w:val="18"/>
          <w:szCs w:val="18"/>
          <w:color w:val="auto"/>
        </w:rPr>
        <w:t>1155 Dairy Ashford Road, Suite 425</w:t>
      </w:r>
    </w:p>
    <w:p>
      <w:pPr>
        <w:spacing w:after="0" w:line="9" w:lineRule="exact"/>
        <w:rPr>
          <w:rFonts w:ascii="Times New Roman" w:cs="Times New Roman" w:eastAsia="Times New Roman" w:hAnsi="Times New Roman"/>
          <w:sz w:val="18"/>
          <w:szCs w:val="18"/>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9" w:lineRule="exact"/>
        <w:rPr>
          <w:rFonts w:ascii="Times New Roman" w:cs="Times New Roman" w:eastAsia="Times New Roman" w:hAnsi="Times New Roman"/>
          <w:sz w:val="18"/>
          <w:szCs w:val="18"/>
          <w:color w:val="auto"/>
        </w:rPr>
      </w:pPr>
    </w:p>
    <w:p>
      <w:pPr>
        <w:ind w:left="4780"/>
        <w:spacing w:after="0"/>
        <w:rPr>
          <w:sz w:val="20"/>
          <w:szCs w:val="20"/>
          <w:color w:val="auto"/>
        </w:rPr>
      </w:pPr>
      <w:r>
        <w:rPr>
          <w:rFonts w:ascii="Times New Roman" w:cs="Times New Roman" w:eastAsia="Times New Roman" w:hAnsi="Times New Roman"/>
          <w:sz w:val="18"/>
          <w:szCs w:val="18"/>
          <w:color w:val="auto"/>
        </w:rPr>
        <w:t>(713) 935-0122</w:t>
      </w:r>
    </w:p>
    <w:p>
      <w:pPr>
        <w:spacing w:after="0" w:line="139" w:lineRule="exact"/>
        <w:rPr>
          <w:rFonts w:ascii="Times New Roman" w:cs="Times New Roman" w:eastAsia="Times New Roman" w:hAnsi="Times New Roman"/>
          <w:sz w:val="18"/>
          <w:szCs w:val="18"/>
          <w:color w:val="auto"/>
        </w:rPr>
      </w:pPr>
    </w:p>
    <w:p>
      <w:pPr>
        <w:jc w:val="both"/>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the accompanying prospectus. We have not authorized anyone else to provide you with different information. You should not assume that the information in this prospectus supplement or the accompanying prospectus is accurate as of any date other than the date on the front of those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131445</wp:posOffset>
            </wp:positionV>
            <wp:extent cx="1585595" cy="419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5855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EVOLUTION PETROLEUM CORPORATION</w:t>
      </w:r>
    </w:p>
    <w:p>
      <w:pPr>
        <w:spacing w:after="0" w:line="2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$500,000,000</w:t>
      </w:r>
    </w:p>
    <w:p>
      <w:pPr>
        <w:spacing w:after="0" w:line="4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Common Stock</w:t>
      </w:r>
    </w:p>
    <w:p>
      <w:pPr>
        <w:jc w:val="center"/>
        <w:ind w:right="-800"/>
        <w:spacing w:after="0" w:line="236" w:lineRule="auto"/>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2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up to $500,000,000 in the aggregate of common stock, preferred stock, warrants to purchase our common stock or preferred stock, or debt securities, at prices and on terms that we will determine at the time of the offering. Preferred stock and debt securities may also be convertible into preferred stock or common stock.</w:t>
      </w:r>
    </w:p>
    <w:p>
      <w:pPr>
        <w:spacing w:after="0" w:line="9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describes some of the general terms that may apply to these securities. Each time we sell securities, to the extent required by applicable law, we will provide a supplement to this prospectus that contains specific information about the offering and the terms of the securities being offered. The supplement may also add, update or change information contained in this prospectus. </w:t>
      </w:r>
      <w:r>
        <w:rPr>
          <w:rFonts w:ascii="Times New Roman" w:cs="Times New Roman" w:eastAsia="Times New Roman" w:hAnsi="Times New Roman"/>
          <w:sz w:val="18"/>
          <w:szCs w:val="18"/>
          <w:b w:val="1"/>
          <w:bCs w:val="1"/>
          <w:color w:val="auto"/>
        </w:rPr>
        <w:t>You should carefully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read this prospectus, all prospectus supplements and all other documents incorporated by reference in this prospectus before you invest in our securities.</w:t>
      </w:r>
    </w:p>
    <w:p>
      <w:pPr>
        <w:spacing w:after="0" w:line="120"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We will offer the securities in amounts, at prices and on terms to be determined by market conditions at the time of the offerings. The securities may be offered separately or together in any combination.</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securities may be offered and sold on a delayed or continuous basis directly by us or through underwriters, agents or dealers as designated from time to time, through a combination of these methods or any other method as provided in the applicable prospectus supplement. The supplements to this prospectus will designate the terms of our plan of distribution. See the discussion under the heading “Plan of Distribution” for more information on the topic.</w:t>
      </w:r>
    </w:p>
    <w:p>
      <w:pPr>
        <w:spacing w:after="0" w:line="10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1155 Dairy Ashford Road, Suite 425, Houston, Texas 77079, and our telephone number is (713) 935-0122. Our common stock trades on the NYSE American under the symbol “EPM.”</w:t>
      </w:r>
    </w:p>
    <w:p>
      <w:pPr>
        <w:spacing w:after="0" w:line="104"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 Please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color w:val="auto"/>
        </w:rPr>
        <w:t xml:space="preserve"> of this prospectus and any similar section contained in any applicable prospectus supplement for a discussion of certain risks that you should consider before investing in our securities.</w:t>
      </w:r>
    </w:p>
    <w:p>
      <w:pPr>
        <w:spacing w:after="0" w:line="107"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may not be used to sell securities unless accompanied by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STATEMENTS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INFORMATION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(the “SEC”) using a “shelf” registration process. Using this process, we may sell any combination of the securities described in this prospectus in one or more offerings up to a total dollar amount of $500,000,000.</w:t>
      </w:r>
    </w:p>
    <w:p>
      <w:pPr>
        <w:spacing w:after="0" w:line="11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we may offer. Each time we use this prospectus to offer securities, we will provide a prospectus supplement that will describe the specific terms of the offering. The prospectus supplement may also add to or update other information contained in this prospectus.</w:t>
      </w:r>
    </w:p>
    <w:p>
      <w:pPr>
        <w:spacing w:after="0" w:line="9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making your investment decision, you should rely only on the information contained or incorporated by reference in this prospectus and any prospectus supplement we may authorize to be delivered to you. This prospectus incorporates important business and financial information about us that is not included in or delivered with this prospectus. You may obtain a copy of this information, without charge, as described in the “Where You Can Find More Information” section. We have not authorized anyone to provide you with any other information. If you receive any other information, you should not rely on it.</w:t>
      </w:r>
    </w:p>
    <w:p>
      <w:pPr>
        <w:spacing w:after="0" w:line="12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You should not assume that the information appearing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reserves and prospects may have changed since that date.</w:t>
      </w:r>
    </w:p>
    <w:p>
      <w:pPr>
        <w:spacing w:after="0" w:line="116" w:lineRule="exact"/>
        <w:rPr>
          <w:sz w:val="20"/>
          <w:szCs w:val="20"/>
          <w:color w:val="auto"/>
        </w:rPr>
      </w:pPr>
    </w:p>
    <w:p>
      <w:pPr>
        <w:jc w:val="both"/>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encourage you to read this entire prospectus together with the documents incorporated by reference into this prospectus before making a decision whether to invest in our securities.</w:t>
      </w:r>
    </w:p>
    <w:p>
      <w:pPr>
        <w:spacing w:after="0" w:line="81"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or unless otherwise noted, all references in this prospectus or any prospectus supplement to “EPM” and to the “Company,” “Registrant,” “we,” “us” or “our” are to Evolution Petroleum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This prospectus and the information referenced herein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w:t>
      </w:r>
    </w:p>
    <w:p>
      <w:pPr>
        <w:spacing w:after="0" w:line="287" w:lineRule="exact"/>
        <w:rPr>
          <w:sz w:val="20"/>
          <w:szCs w:val="20"/>
          <w:color w:val="auto"/>
        </w:rPr>
      </w:pPr>
    </w:p>
    <w:p>
      <w:pPr>
        <w:ind w:left="1800" w:right="5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plans, strategies and objectives, including anticipated development activity and capital spending;</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capital structure, anticipated sources of funding, growth in long-term shareholder value and ability to preserve balance sheet strength;</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future acquisitions and the need for additional capital to complete future acquisitions;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multi-basin portfolio, including operational and commodity flexibility;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cash flow and the application of excess cash flows to pay dividends;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natural gas liquids (NGLs) production and commodity mix;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oil, natural gas and NGL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drilling and completions activity;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operational risks, including accidents, equipment failures, fires, and releases of toxic or hazardous materials;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NGL reserves and recoverable quantities;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the availability of other sources of liquidity to meet financial obligations throughout commodity price cycles;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obtain funding based on environmental, social, and corporate governance performance;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expense;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debt and financial ratios, finance growth and comply with financial covenants;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outcomes of risk management programs, including exposure to commodity price and interest rate fluctuations, the volume of oil and natural gas production hedged, and the markets or physical sales locations hedged;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changes in federal, state, provincial and local, rules and regulations;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compliance with current or proposed environmental requirements, including the costs thereof;</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greenhouse gas emissions limitations and renewable energy incentives;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provisions for abandonment and site reclamation costs;</w:t>
      </w:r>
    </w:p>
    <w:p>
      <w:pPr>
        <w:spacing w:after="0" w:line="11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flexibility, discipline and ability to respond to evolving market conditions;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future dividends and any anticipated repurchase of our outstanding common shares;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provision for taxes and legal claims;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cost inflation and expected cost structures, including expected operating, transportation, processing and labor expenses;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competitiveness relative to our peers, including with respect to capital, materials, people, assets and production;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inventories and global demand for oil, natural gas and NGLs;</w:t>
      </w:r>
    </w:p>
    <w:p>
      <w:pPr>
        <w:spacing w:after="0" w:line="10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oil and natural gas industry generally, including impacts from changes to the geopolitical environment;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events;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staffing levels;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payments related to our commitments, obligations and contingencies, and the ability to satisfy the same;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accounting and tax pronouncements, rule changes and standards.</w:t>
      </w:r>
    </w:p>
    <w:p>
      <w:pPr>
        <w:spacing w:after="0" w:line="15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w:t>
      </w:r>
    </w:p>
    <w:p>
      <w:pPr>
        <w:spacing w:after="0" w:line="69"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commodity prices and basis differentials;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shelf prospectuses;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contained in our corporate guidance;</w:t>
      </w:r>
    </w:p>
    <w:p>
      <w:pPr>
        <w:spacing w:after="0" w:line="117"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commodity or financial hedges and the enforceability of risk management programs;</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counterparties will fulfill their obligations pursuant to gathering, processing, transportation and marketing agreements;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gathering, transportation, processing and storage facilities;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tax, royalty and regulatory regimes;</w:t>
      </w:r>
    </w:p>
    <w:p>
      <w:pPr>
        <w:spacing w:after="0" w:line="117"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and projections made in light of, and generally consistent with, our historical experience and our perception of historical industry trends;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assumptions contained herein.</w:t>
      </w:r>
    </w:p>
    <w:p>
      <w:pPr>
        <w:spacing w:after="0" w:line="15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spacing w:after="0" w:line="325" w:lineRule="exact"/>
        <w:rPr>
          <w:sz w:val="20"/>
          <w:szCs w:val="20"/>
          <w:color w:val="auto"/>
        </w:rPr>
      </w:pPr>
    </w:p>
    <w:p>
      <w:pPr>
        <w:ind w:left="1260" w:right="459" w:firstLine="360"/>
        <w:spacing w:after="0" w:line="24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under the Risk Factors section of our previously </w:t>
      </w:r>
      <w:hyperlink r:id="rId46">
        <w:r>
          <w:rPr>
            <w:rFonts w:ascii="Times New Roman" w:cs="Times New Roman" w:eastAsia="Times New Roman" w:hAnsi="Times New Roman"/>
            <w:sz w:val="18"/>
            <w:szCs w:val="18"/>
            <w:color w:val="auto"/>
          </w:rPr>
          <w:t xml:space="preserve">filed </w:t>
        </w:r>
        <w:r>
          <w:rPr>
            <w:rFonts w:ascii="Times New Roman" w:cs="Times New Roman" w:eastAsia="Times New Roman" w:hAnsi="Times New Roman"/>
            <w:sz w:val="18"/>
            <w:szCs w:val="18"/>
            <w:u w:val="single" w:color="auto"/>
            <w:color w:val="0000EE"/>
          </w:rPr>
          <w:t>Annual Report on Form 10-K for the fiscal year ended June 30,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Quarterly Report on</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Form 10-Q for the quarterly period ended September 30, 2025</w:t>
        </w:r>
        <w:r>
          <w:rPr>
            <w:rFonts w:ascii="Times New Roman" w:cs="Times New Roman" w:eastAsia="Times New Roman" w:hAnsi="Times New Roman"/>
            <w:sz w:val="18"/>
            <w:szCs w:val="18"/>
            <w:color w:val="000000"/>
          </w:rPr>
          <w:t xml:space="preserve">, as well as the other disclosures </w:t>
        </w:r>
      </w:hyperlink>
      <w:r>
        <w:rPr>
          <w:rFonts w:ascii="Times New Roman" w:cs="Times New Roman" w:eastAsia="Times New Roman" w:hAnsi="Times New Roman"/>
          <w:sz w:val="18"/>
          <w:szCs w:val="18"/>
          <w:color w:val="0000EE"/>
        </w:rPr>
        <w:t xml:space="preserve">contained </w:t>
      </w:r>
      <w:r>
        <w:rPr>
          <w:rFonts w:ascii="Times New Roman" w:cs="Times New Roman" w:eastAsia="Times New Roman" w:hAnsi="Times New Roman"/>
          <w:sz w:val="18"/>
          <w:szCs w:val="18"/>
          <w:color w:val="000000"/>
        </w:rPr>
        <w:t>herein, therein, and as also may be described from time to time in future reports we file with the SEC. Readers should also consider such information in conjunction with our condensed consolidated financial statements and related notes and Item 2. Management’s Discussion and Analysis of Financial Condition and Results of Operations contained therein. There also may be other factors that we cannot anticipate or that are not described in this report, generally because we do not currently perceive them to be material. Such factors could cause results to differ materially from our expectations.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to update these statements other than as required by law. Readers are advised, however, to review any further disclosures we make on related subjects in our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 factors and all other information contained in our most recent Annual Report on Form 10-K, in our Quarterly Reports on Form 10-Q and Current Reports on Form 8-K before investing in our securities. You should also consider similar information contained in any Annual Report on Form 10-K, Quarterly Report on Form 10-Q, Current Report on Form 8-K or other document filed by us with the SEC after the date of this prospectus before deciding to invest in our securities. If any of these risks were to occur, our business, financial condition or results of operations could be adversely affected. In that case, the trading price of our common stock or other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2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risks incorporated by reference in this prospectus are the material risks of which we are currently aware; however, they may not be the only risks that we may face. Additional risks and uncertainties not currently known to us or that we currently view as immaterial may also impair our business operations. Any of these risks could materially and adversely affect our business, financial condition, results of operations and cash flows. In that case, you may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are an independent energy company focused on maximizing returns to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 and other exploitation efforts on our oil and natural gas properties.</w:t>
      </w:r>
    </w:p>
    <w:p>
      <w:pPr>
        <w:spacing w:after="0" w:line="116"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Our oil and natural gas properties consist of non-operated working and mineral interests in the following areas: the SCOOP and STACK plays of the Anadarko Basin located in central Oklahoma; the Chaveroo Field in Chaves and Roosevelt Counties of New Mexico; the Jonah 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enhanced oil recovery project; the TexMex interests located in Lea, Eddy and Chaves Counties, New Mexico and Stephens County, Texas; as well as small overriding royalty interests in four onshore Texas wells.</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are a Nevada corporation. Our principal executive offices are located at 1155 Dairy Ashford Road, Suite 425, Houston, Texas 77079. Our telephone number is (713) 935-0122. We maintain a website at www.evolutionpetroleum.com, which contains information about us. Our website and the information contained on it and connected to it is not incorporated by reference into this prospectus and does not otherwise constitute part of this prospectus. Our common stock is listed and traded on the NYSE American under the symbol “EPM.”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Unless otherwise specified in a prospectus supplement accompanying this prospectus, we expect to use the net proceeds from the sale of our securities for general corporate purposes, which may include, among other things, the financing of capital expenditures, reduction or refinancing of debt or other corporate obligations, recapitalization transactions, acquisitions and additions to our working capital. The actual application of proceeds from the sale of any particular tranche of securities issued hereunder will be described in the applicable prospectus supplement relating to such tranche of securities. Until we use the net proceeds from the sale of securities for these purposes, we may place the net proceeds in temporary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following description of our capital stock summarizes general terms and provisions that apply to our capital stock. Since this is only a summary, it does not contain all of the information that may be important to you. The summary is subject to and qualified in its entirety by reference to our Articles of Incorporation, as amended (“Articles of Incorporation”), our Bylaws, as amended (“Amended Bylaws”), which are filed as exhibits to the registration statement of which this prospectus is a part and incorporated by reference into this prospectus and the applicable provisions of the Nevada Revised Statutes (“NRS”). See “Where You Can Find More Information.”</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Our authorized capital consists of 105,000,000 shares of stock, $0.001 par value per share. Of the authorized capital, 100,000,000 shares are authorized to be issued as common stock, and 5,000,000 shares are authorized to be issued as preferred stock. As of January 12, 2026, 35,000,844 shares of common stock were issued and outstanding, and no shares of preferred stock were issued and outstanding.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For all matters submitted to a vote of stockholders, holders of our common stock are entitled to one vote for each share registered in his or her name on our books, and they do not have cumulative voting rights. Each share of our common stock is entitled to share equally with each other share of common stock in dividends from sources legally available therefore, when, as, and if declared by the board of directors of the Company (the “Board of Directors”) and, upon our liquidation or dissolution, whether voluntary or involuntary, to share equally in the assets that are available for distribution to the holders of our common stock. The Board of Directors instituted a quarterly cash dividend on common stock in 2013. The Board of Directors reviews the quarterly dividend rate in light of our financial position and operations, forecasted results, including the outlook for commodity prices, the timing of further expansion of our producing assets and other potential growth opportunities. Holders of our common stock have no preemptive, subscription, redemption or conversion rights and there are no sinking fund provisions applicable to our common stock. The Board of Directors is authorized to issue additional shares of common stock within the limits authorized by our Articles of Incorporation and without stockholder action.</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and traded on the NYSE American under the symbol “EPM.”</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is authorized to designate and issue shares of preferred stock in one or more series without stockholder approval. The Board of Directors has discretion to determine the rights, preferences, privileges and restrictions, including voting rights, dividend rights, conversion rights, redemption privileges and liquidation preferences, of each series of preferred stock.</w:t>
      </w:r>
    </w:p>
    <w:p>
      <w:pPr>
        <w:spacing w:after="0" w:line="11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If we offer series of preferred stock, we will file the terms of the preferred stock with the SEC, and the prospectus supplement relating to that offering will include a description of the specific terms of the offering, including the following specific terms:</w:t>
      </w:r>
    </w:p>
    <w:p>
      <w:pPr>
        <w:spacing w:after="0" w:line="61"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the number of shares offered and the liquidation value of the preferred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the dates on which the dividends will be payable and other terms relating to the payment of dividends on the preferred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of the preferred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the preferred stock;</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is redeemable or subject to a sinking fund, and the terms of any such redemption or sinking fund;</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is convertible or exchangeable for any other securities, and the terms of any such conversion;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qualifications, limitations and restrictions of the preferred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It is not possible to state the actual effect of the issuance of any additional shares of preferred stock upon the rights of holders of our common stock until the Board of Directors determines the specific rights of the holders of the preferred stock. However, these effects might include:</w:t>
      </w:r>
    </w:p>
    <w:p>
      <w:pPr>
        <w:spacing w:after="0" w:line="55"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our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our common stock;</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our common stock;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the Company.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 Under Nevada Law</w:t>
      </w:r>
    </w:p>
    <w:p>
      <w:pPr>
        <w:spacing w:after="0" w:line="144" w:lineRule="exact"/>
        <w:rPr>
          <w:sz w:val="20"/>
          <w:szCs w:val="20"/>
          <w:color w:val="auto"/>
        </w:rPr>
      </w:pPr>
    </w:p>
    <w:p>
      <w:pPr>
        <w:ind w:left="1260" w:right="459" w:firstLine="360"/>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Combinations with Interested Stockholder. </w:t>
      </w:r>
      <w:r>
        <w:rPr>
          <w:rFonts w:ascii="Times New Roman" w:cs="Times New Roman" w:eastAsia="Times New Roman" w:hAnsi="Times New Roman"/>
          <w:sz w:val="18"/>
          <w:szCs w:val="18"/>
          <w:color w:val="auto"/>
        </w:rPr>
        <w:t>Sections 78.411 – 78.444, inclusive, of the NRS contain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governing combinations with an interested stockholder. For purposes of the NRS, “combinations” include: (i) any merger or consolidation with any interested stockholder, (ii) any sale, lease, exchange, mortgage, pledge, transfer or other disposition to any interested stockholder of corporate assets with an aggregate market value equal to more than 5% of the aggregate market value of the corporation’s consolidated assets, more than 5% of the aggregate market value of outstanding shares of the corporation or more than 10% of the earning power or net income of the corporation, (iii) the issuance to any interested stockholder of voting shares (except pursuant to a share dividend or similar proportionate distribution) with an aggregate market value equal to 5% or more of the aggregate market value of all the outstanding shares of the corporation, (iv) the adoption of the dissolution of the corporation if proposed by or on behalf of any interested stockholder, (v) any reclassification of securities, recapitalization or corporate reorganization that will have the effect of increasing the proportionate share of the corporation’s outstanding voting shares held by any interested stockholder and (vi) any receipt by the interested stockholder of the benefit (except proportionately as a stockholder) of any loan, advance, guarantee, pledge or other financial assistance. For purposes of the NRS, an “interested stockholder” is defined to include any beneficial owner of more</w:t>
      </w:r>
    </w:p>
    <w:p>
      <w:pPr>
        <w:spacing w:after="0" w:line="6" w:lineRule="exact"/>
        <w:rPr>
          <w:sz w:val="20"/>
          <w:szCs w:val="20"/>
          <w:color w:val="auto"/>
        </w:rPr>
      </w:pPr>
    </w:p>
    <w:p>
      <w:pPr>
        <w:ind w:left="1260" w:right="519"/>
        <w:spacing w:after="0" w:line="234" w:lineRule="auto"/>
        <w:rPr>
          <w:sz w:val="20"/>
          <w:szCs w:val="20"/>
          <w:color w:val="auto"/>
        </w:rPr>
      </w:pPr>
      <w:r>
        <w:rPr>
          <w:rFonts w:ascii="Times New Roman" w:cs="Times New Roman" w:eastAsia="Times New Roman" w:hAnsi="Times New Roman"/>
          <w:sz w:val="18"/>
          <w:szCs w:val="18"/>
          <w:color w:val="auto"/>
        </w:rPr>
        <w:t>than 10% of any class of the voting securities of a Nevada corporation and any person who is an affiliate or associate of the corporation and was at any time during the preceding two years the beneficial owner of more than 10% of any class of the voting securities of the Nevada corporation.</w:t>
      </w:r>
    </w:p>
    <w:p>
      <w:pPr>
        <w:spacing w:after="0" w:line="104"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Subject to certain exceptions, the provisions of the NRS statute governing combinations with interested stockholders provide that a Nevada corporation may not engage in a combination with an interested stockholder for two years after the date that the person first became an interested stockholder unless the combination or the transaction by which the person first became an interested stockholder is approved by the Board of Directors before the person first became an interested stockholder, or unless the combination is approved by the Board of Directors and sixty percent of the corporation’s voting power not beneficially owned by the interested stockholder, its affiliates and associates.</w:t>
      </w:r>
    </w:p>
    <w:p>
      <w:pPr>
        <w:spacing w:after="0" w:line="11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Control Share Acquisitions. </w:t>
      </w:r>
      <w:r>
        <w:rPr>
          <w:rFonts w:ascii="Times New Roman" w:cs="Times New Roman" w:eastAsia="Times New Roman" w:hAnsi="Times New Roman"/>
          <w:sz w:val="18"/>
          <w:szCs w:val="18"/>
          <w:color w:val="auto"/>
        </w:rPr>
        <w:t>The NRS also contains a “control share acquisitions statute.” If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Nevada corporation this statute restricts the voting rights of certain stockholders referred to as “acquiring persons,” that acquire or offer to acquire ownership of a “controlling interest” in the outstanding voting stock of an “issuing corporation.” For purposes of these provisions, a “controlling interest” means with certain exceptions the ownership of outstanding voting stock sufficient to enable the acquiring person to exercise one-fifth or more but less than one-third, one-third or more but less than a majority, or a majority or more of all voting power in the election of directors; “issuing corporation” means a Nevada corporation that has 200 or more stockholders of record, at least 100 of whom have addresses in Nevada appearing on the stock ledger of the corporation at all times during the 90 days immediately preceding such date, and which does business in Nevada directly or through an affiliated corporation. The voting rights of an acquiring person in the affected shares will be restored only if such restoration is approved by the holders of a majority of the voting power of the corporation. The NRS allows a corporation to “opt -out” of the control share acquisitions statute by providing in such corporation’s articles of incorporation or bylaws that the control share acquisitions statute does not apply to the corporation or to an acquisition of a controlling interest specifically by types of existing or future stockholders, whether or not identified. The Company has not opted out of this statute.</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and registrar of our common stock.</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We may issue warrants for the purchase of common stock or preferred stock. Warrants may be issued independently or together with common stock or preferred stock offered by any prospectus supplement and may be attached to or separate from any such offered securities. Series of warrants may be issued under a separate warrant agreement entered into between us and a bank or trust company, as warrant agent, all as will be set forth in the prospectus supplement relating to the particular issue of warrants. The warrant agent would act solely as our agent in connection with the warrants and would not assume any obligation or relationship of agency or trust for or with any holders of warrants or beneficial owners of warrants.</w:t>
      </w:r>
    </w:p>
    <w:p>
      <w:pPr>
        <w:spacing w:after="0" w:line="11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warrants does not purport to be complete and is subject to, and is qualified in its entirety by reference to, all provisions of the warrant agreements.</w:t>
      </w:r>
    </w:p>
    <w:p>
      <w:pPr>
        <w:spacing w:after="0" w:line="95"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61"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common stock or preferred stock and the price at which such number of shares of common stock or preferred stock may be purchased upon such exercise;</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material terms (including, without limitation, liquidation, dividend, conversion and voting rights) of any series of common stock or preferred stock purchasable upon exercise of warrants, including, without limitation, liquidation, dividend, conversion and voting rights;</w:t>
      </w:r>
    </w:p>
    <w:p>
      <w:pPr>
        <w:spacing w:after="0" w:line="278"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such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0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rights of holders of equity warrants, including that such holders will not be entitled to vote, receive dividends, receive notice of shareholder meetings or exercise any rights as shareholders;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warrants outstanding as of the most recent practicable date;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w:t>
      </w:r>
    </w:p>
    <w:p>
      <w:pPr>
        <w:spacing w:after="0" w:line="144"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Warrants will be issued in registered form only. The exercise price for warrants will be subject to adjustment in accordance with the applicable prospectus supplement.</w:t>
      </w:r>
    </w:p>
    <w:p>
      <w:pPr>
        <w:spacing w:after="0" w:line="8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Each warrant will entitle the holder thereof to purchase such number of shares of common stock or preferred stock at such exercise price as shall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us, unexercised warrants will become void. The place or places where, and the manner in which, warrants may be exercised shall be specified in the prospectus supplement relating to such warrants.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Prior to the exercise of any warrants to purchase common stock or preferred stock, holders of such warrants will not have any of the rights of holders of common stock or preferred stock, as the case may be, purchasable upon such exercise, including the right to receive payments of dividends, if any, on our common stock purchasable upon such exercise, or to exercise any applicable right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of debt securities to which any prospectus supplement may relate. A prospectus supplement will describe the terms relating to any debt securities to be offered in greater detail, and may provide information that is different from this prospectus. If the information in the prospectus supplement differs with respect to the particular debt securities being offered from this prospectus, you should rely on the information in the prospectus supplement. The debt securities may be issued from time to time in one or more series. The particular terms of each series that are offered by a prospectus supplement will be described in the prospectus supplement.</w:t>
      </w:r>
    </w:p>
    <w:p>
      <w:pPr>
        <w:spacing w:after="0" w:line="121"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We may conduct a portion of our operations through subsidiaries. As a result, the rights of the Company and our creditors, including holders of the debt securities, to participate in the assets of any subsidiary upon the latter’s liquidation or reorganization will be subject to the prior claims of the subsidiary’s creditors, except to the extent that we may ourselves be a creditor with recognized claims against such subsidiary.</w:t>
      </w:r>
    </w:p>
    <w:p>
      <w:pPr>
        <w:spacing w:after="0" w:line="102"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 debt securities will be either our senior debt securities or our subordinated debt securities. The senior debt securities and the subordinated debt securities will be issued under separate indentures among us, and a trustee that meets certain requirements and is selected by us (the “Trustee”). Senior debt securities will be issued under a “Senior Indenture” and subordinated debt securities will be issued under a “Subordinated Indenture.” Together, the Senior Indenture and the Subordinated Indenture are called “Indentures.”</w:t>
      </w:r>
    </w:p>
    <w:p>
      <w:pPr>
        <w:spacing w:after="0" w:line="33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have summarized selected provisions of the Indentures below. The summary is not complete and is qualified in its entirety by express reference to the provisions of the Indentures. The form of each Indenture has been filed with the SEC as an exhibit to the registration statement of which this prospectus is a part, and you should read the Indentures for provisions that may be important to you. The Indentures will be subject to and governed by certain provisions of the Trust Indenture Act of 1939, as amended (the “Trust Indenture Act”), and we refer you to the Indentures and the Trust Indenture Act for a statement of such provisions. Capitalized terms used in the summary have the meanings specified in the Indentures.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may offer debt securities under this prospectus. The Indentures do not limit the aggregate amount of debt securities, and we may issue debt securities up to the aggregate principal amount which may be authorized from time to time by the Board of Directors. The Indentures provide that debt securities in separate series may be issued thereunder from time to time without limitation as to aggregate principal amount. We may specify a maximum aggregate principal amount for the debt securities of any series. We will determine the terms and conditions of the debt securities, including the maturity, principal and interest, but those terms must be consistent with the Indenture. The debt securities will be our unsecured obligations.</w:t>
      </w:r>
    </w:p>
    <w:p>
      <w:pPr>
        <w:spacing w:after="0" w:line="10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subordinated debt securities will be subordinated in right of payment to the prior payment in full of all of our Senior Debt as described under “Subordination of Subordinated Debt Securities” and in the prospectus supplement applicable to any subordinated debt securities. If the prospectus supplement so indicates, the debt securities will be convertible into our common stock or preferred stock.</w:t>
      </w:r>
    </w:p>
    <w:p>
      <w:pPr>
        <w:spacing w:after="0" w:line="11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price or prices at which the debt securities to be offered will be issued and will describe the following terms of such debt securities:</w:t>
      </w:r>
    </w:p>
    <w:p>
      <w:pPr>
        <w:spacing w:after="0" w:line="94" w:lineRule="exact"/>
        <w:rPr>
          <w:sz w:val="20"/>
          <w:szCs w:val="20"/>
          <w:color w:val="auto"/>
        </w:rPr>
      </w:pPr>
    </w:p>
    <w:p>
      <w:pPr>
        <w:ind w:left="1980" w:hanging="360"/>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 of the debt securities;</w:t>
      </w:r>
    </w:p>
    <w:p>
      <w:pPr>
        <w:spacing w:after="0" w:line="157" w:lineRule="exact"/>
        <w:rPr>
          <w:rFonts w:ascii="Times New Roman" w:cs="Times New Roman" w:eastAsia="Times New Roman" w:hAnsi="Times New Roman"/>
          <w:sz w:val="18"/>
          <w:szCs w:val="18"/>
          <w:color w:val="auto"/>
        </w:rPr>
      </w:pPr>
    </w:p>
    <w:p>
      <w:pPr>
        <w:ind w:left="1980" w:right="1059" w:hanging="360"/>
        <w:spacing w:after="0" w:line="282" w:lineRule="auto"/>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debt securities or subordinated debt securities and, if subordinated debt securities, the related subordination terms;</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157" w:lineRule="exact"/>
        <w:rPr>
          <w:rFonts w:ascii="Times New Roman" w:cs="Times New Roman" w:eastAsia="Times New Roman" w:hAnsi="Times New Roman"/>
          <w:sz w:val="18"/>
          <w:szCs w:val="18"/>
          <w:color w:val="auto"/>
        </w:rPr>
      </w:pPr>
    </w:p>
    <w:p>
      <w:pPr>
        <w:ind w:left="1980" w:right="1019" w:hanging="360"/>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regular record date for the interest payable on any interest payment date;</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payments on the debt securities will be payable;</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payment of principal and interest;</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upon which the debt securities may be redeemed, in whole or in part, at our option;</w:t>
      </w:r>
    </w:p>
    <w:p>
      <w:pPr>
        <w:spacing w:after="0" w:line="144"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80"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if less than all, of the debt securities that will be payable upon declaration of acceleration of the Maturity of the debt securities;</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defeasible;</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w:t>
      </w:r>
    </w:p>
    <w:p>
      <w:pPr>
        <w:spacing w:after="0" w:line="144"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into our common stock or preferred stock and, if so, the terms and conditions upon which conversion will be effected, including the initial conversion price or conversion rate and any adjustments thereto and the conversion period;</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in the Indenture applicable to the debt securities;</w:t>
      </w:r>
    </w:p>
    <w:p>
      <w:pPr>
        <w:spacing w:after="0" w:line="144"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80"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principal amount) at which we will sell the debt securities;</w:t>
      </w:r>
    </w:p>
    <w:p>
      <w:pPr>
        <w:spacing w:after="0" w:line="80" w:lineRule="exact"/>
        <w:rPr>
          <w:rFonts w:ascii="Times New Roman" w:cs="Times New Roman" w:eastAsia="Times New Roman" w:hAnsi="Times New Roman"/>
          <w:sz w:val="18"/>
          <w:szCs w:val="18"/>
          <w:color w:val="auto"/>
        </w:rPr>
      </w:pPr>
    </w:p>
    <w:p>
      <w:pPr>
        <w:ind w:left="1980" w:right="659" w:hanging="360"/>
        <w:spacing w:after="0" w:line="261"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and</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provisions of the Indenture.</w:t>
      </w:r>
    </w:p>
    <w:p>
      <w:pPr>
        <w:spacing w:after="0" w:line="14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Debt securities, including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senior debt securities will be our direct-unsecured obligations and will constitute senior indebtedness (in each case as defined in the applicable Supplemental Indenture) ranking on a parity with all of our other unsecured and unsubordinated indebtedness.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will, to the extent set forth in the Subordinated Indenture with respect to each series of subordinated debt securities, be subordinate in right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of payment to the prior payment in full of all of our Senior Debt, including the senior debt securities, and it may also be senior in right of payment to all of our Subordinated Debt. The prospectus supplement relating to any subordinated debt securities will summarize the subordination provisions of the Subordinated Indenture applicable to that series including:</w:t>
      </w:r>
    </w:p>
    <w:p>
      <w:pPr>
        <w:spacing w:after="0" w:line="69" w:lineRule="exact"/>
        <w:rPr>
          <w:sz w:val="20"/>
          <w:szCs w:val="20"/>
          <w:color w:val="auto"/>
        </w:rPr>
      </w:pPr>
    </w:p>
    <w:p>
      <w:pPr>
        <w:ind w:left="1800" w:right="43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and effect of such provisions upon any payment or distribution respecting that series following any liquidation, dissolution or other winding up, or any assignment for the benefit of creditors or other marshaling of assets or any bankruptcy, insolvency or similar proceedings;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and effect of such provisions in the event of specified defaults with respect to any Senior Debt, including the circumstances under which and the periods in which we will be prohibited from making payments on the subordinated debt securities;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75"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Senior Debt applicable to the subordinated debt securities of that series and, if the series is issued on a senior subordinated basis, the definition of Subordinated Debt applicable to that series.</w:t>
      </w:r>
    </w:p>
    <w:p>
      <w:pPr>
        <w:spacing w:after="0" w:line="30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will also describe as of a recent date the approximate amount of Senior Debt to which the subordinated debt securities of that series will be subordinated.</w:t>
      </w:r>
    </w:p>
    <w:p>
      <w:pPr>
        <w:spacing w:after="0" w:line="81"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“Legal Defeasance and Covenant Defeasance.”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debt securities of each series will be issuable only in fully registered form, without coupons, and, unless otherwise specified in the applicable prospectus supplement, only in denominations of $1,000 and integral multiples or divisions thereof.</w:t>
      </w:r>
    </w:p>
    <w:p>
      <w:pPr>
        <w:spacing w:after="0" w:line="10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At the option of the Holder, subject to the terms of the applicable Indenture and the limitations applicable to Global Securities, debt securities of each series will be exchangeable for other debt securities of the same series of any authorized denomination and of a like tenor and aggregate principal amount.</w:t>
      </w:r>
    </w:p>
    <w:p>
      <w:pPr>
        <w:spacing w:after="0" w:line="10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w:t>
      </w: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w:t>
      </w:r>
    </w:p>
    <w:p>
      <w:pPr>
        <w:spacing w:after="0" w:line="11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83" w:lineRule="exact"/>
        <w:rPr>
          <w:sz w:val="20"/>
          <w:szCs w:val="20"/>
          <w:color w:val="auto"/>
        </w:rPr>
      </w:pPr>
    </w:p>
    <w:p>
      <w:pPr>
        <w:ind w:left="1980" w:right="419" w:hanging="360"/>
        <w:spacing w:after="0" w:line="266"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for such Global Security or has ceased to be qualified to act as such as required by the applicable Indenture, and in either case we fail to appoint a successor Depositary within 90 days;</w:t>
      </w:r>
    </w:p>
    <w:p>
      <w:pPr>
        <w:spacing w:after="0" w:line="81" w:lineRule="exact"/>
        <w:rPr>
          <w:rFonts w:ascii="Times New Roman" w:cs="Times New Roman" w:eastAsia="Times New Roman" w:hAnsi="Times New Roman"/>
          <w:sz w:val="18"/>
          <w:szCs w:val="18"/>
          <w:color w:val="auto"/>
        </w:rPr>
      </w:pPr>
    </w:p>
    <w:p>
      <w:pPr>
        <w:ind w:left="1980" w:right="639" w:hanging="360"/>
        <w:spacing w:after="0" w:line="266"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debt securities represented by such Global Security has occurred and is continuing and the Trustee has received a written request from the Depositary to issue certificated debt securities; or</w:t>
      </w:r>
    </w:p>
    <w:p>
      <w:pPr>
        <w:spacing w:after="0" w:line="81"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exist, in addition to or in lieu of those described above, as may be described in the applicable prospectus supplement.</w:t>
      </w:r>
    </w:p>
    <w:p>
      <w:pPr>
        <w:spacing w:after="0" w:line="8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All debt securities issued in exchange for a Global Security or any portion thereof will be registered in such names as the Depositary may direct.</w:t>
      </w:r>
    </w:p>
    <w:p>
      <w:pPr>
        <w:spacing w:after="0" w:line="8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is represents for any purpose under the debt securities or the applicable Indenture. All payments on a Global Security will be made to the Depositary or its nominee, as the case may be, as the Holder of the security. The laws of some jurisdictions require that some purchasers of debt securities take physical delivery of such debt securities in definitive form. These laws may impair the ability to transfer beneficial interests in a Global Security.</w:t>
      </w:r>
    </w:p>
    <w:p>
      <w:pPr>
        <w:spacing w:after="0" w:line="12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the Company, the Trustees or the agents of the Company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indicated in the applicable prospectus supplement, payment of interest on a debt</w:t>
      </w:r>
    </w:p>
    <w:p>
      <w:pPr>
        <w:spacing w:after="0" w:line="27" w:lineRule="exact"/>
        <w:rPr>
          <w:sz w:val="20"/>
          <w:szCs w:val="20"/>
          <w:color w:val="auto"/>
        </w:rPr>
      </w:pPr>
    </w:p>
    <w:p>
      <w:pPr>
        <w:ind w:left="1260" w:right="519"/>
        <w:spacing w:after="0"/>
        <w:rPr>
          <w:sz w:val="20"/>
          <w:szCs w:val="20"/>
          <w:color w:val="auto"/>
        </w:rPr>
      </w:pPr>
      <w:r>
        <w:rPr>
          <w:rFonts w:ascii="Times New Roman" w:cs="Times New Roman" w:eastAsia="Times New Roman" w:hAnsi="Times New Roman"/>
          <w:sz w:val="18"/>
          <w:szCs w:val="18"/>
          <w:color w:val="auto"/>
        </w:rPr>
        <w:t>security on any Interest Payment Date will be made to the Person in whose name such debt security (or one or more Predecessor Securities) is registered at the close of business on the Regular Record Date for such interest.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spacing w:after="0" w:line="117"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62" w:lineRule="exact"/>
        <w:rPr>
          <w:sz w:val="20"/>
          <w:szCs w:val="20"/>
          <w:color w:val="auto"/>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We may not consolidate with or merge into, or transfer, lease or otherwise dispose of all or substantially all of our assets to, any successor Person (a “successor Person”), and may not permit any Person to consolidate with or merge into us, unless:</w:t>
      </w:r>
    </w:p>
    <w:p>
      <w:pPr>
        <w:spacing w:after="0" w:line="109" w:lineRule="exact"/>
        <w:rPr>
          <w:sz w:val="20"/>
          <w:szCs w:val="20"/>
          <w:color w:val="auto"/>
        </w:rPr>
      </w:pPr>
    </w:p>
    <w:p>
      <w:pPr>
        <w:ind w:left="1980" w:right="559" w:hanging="360"/>
        <w:spacing w:after="0" w:line="258"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Person (if any) is a corporation, partnership, trust or other entity organized and validly existing under the laws of any domestic jurisdiction and assumes our obligations on the debt securities and under the Indentures including the due and punctual payment of the principal of, any premium on and any interest on all of the outstanding debt securities and the performance of every covenant applicable to be performed or observed by us;</w:t>
      </w:r>
    </w:p>
    <w:p>
      <w:pPr>
        <w:spacing w:after="0" w:line="115" w:lineRule="exact"/>
        <w:rPr>
          <w:rFonts w:ascii="Times New Roman" w:cs="Times New Roman" w:eastAsia="Times New Roman" w:hAnsi="Times New Roman"/>
          <w:sz w:val="18"/>
          <w:szCs w:val="18"/>
          <w:color w:val="auto"/>
        </w:rPr>
      </w:pPr>
    </w:p>
    <w:p>
      <w:pPr>
        <w:ind w:left="1980" w:right="599" w:hanging="360"/>
        <w:spacing w:after="0" w:line="266"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giving pro forma effect to the transaction, no Event of Default, and no event which, after notice or lapse of time or both, would become an Event of Default, has occurred and is continuing;</w:t>
      </w:r>
    </w:p>
    <w:p>
      <w:pPr>
        <w:spacing w:after="0" w:line="94"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such consolidation, merger, conveyance or transfer and such Supplemental Indenture comply with the foregoing provisions relating to such transaction; and</w:t>
      </w:r>
    </w:p>
    <w:p>
      <w:pPr>
        <w:spacing w:after="0" w:line="108"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other conditions, including any additional conditions with respect to any particular debt securities specified in the applicable prospectus supplement, are met.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each of the following will constitute an Event of Default under the applicable Indenture with respect to debt securities of any series:</w:t>
      </w:r>
    </w:p>
    <w:p>
      <w:pPr>
        <w:spacing w:after="0" w:line="94" w:lineRule="exact"/>
        <w:rPr>
          <w:sz w:val="20"/>
          <w:szCs w:val="20"/>
          <w:color w:val="auto"/>
        </w:rPr>
      </w:pPr>
    </w:p>
    <w:p>
      <w:pPr>
        <w:ind w:left="1980" w:right="43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 whether or not, in the case of subordinated debt securities, such payment is prohibited by the subordination provisions of the Subordinated Indenture;</w:t>
      </w:r>
    </w:p>
    <w:p>
      <w:pPr>
        <w:spacing w:after="0" w:line="108" w:lineRule="exact"/>
        <w:rPr>
          <w:rFonts w:ascii="Times New Roman" w:cs="Times New Roman" w:eastAsia="Times New Roman" w:hAnsi="Times New Roman"/>
          <w:sz w:val="18"/>
          <w:szCs w:val="18"/>
          <w:color w:val="auto"/>
        </w:rPr>
      </w:pPr>
    </w:p>
    <w:p>
      <w:pPr>
        <w:ind w:left="1980" w:right="69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securities of that series when due, continued for 30 days, whether or not, in the case of subordinated debt securities, such payment is prohibited by the subordination provisions of the Subordinated Indenture;</w:t>
      </w:r>
    </w:p>
    <w:p>
      <w:pPr>
        <w:spacing w:after="0" w:line="94"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 in respect of any debt security of that series, whether or not, in the case of subordinated debt securities, such deposit is prohibited by the subordination provisions of the Subordinated Indenture;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hanging="360"/>
        <w:spacing w:after="0" w:line="282"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comply with the provisions described under “Consolidation, Merger and Sale of Assets”;</w:t>
      </w:r>
    </w:p>
    <w:p>
      <w:pPr>
        <w:spacing w:after="0" w:line="94" w:lineRule="exact"/>
        <w:rPr>
          <w:rFonts w:ascii="Times New Roman" w:cs="Times New Roman" w:eastAsia="Times New Roman" w:hAnsi="Times New Roman"/>
          <w:sz w:val="18"/>
          <w:szCs w:val="18"/>
          <w:color w:val="auto"/>
        </w:rPr>
      </w:pPr>
    </w:p>
    <w:p>
      <w:pPr>
        <w:jc w:val="both"/>
        <w:ind w:left="1980" w:right="479" w:hanging="360"/>
        <w:spacing w:after="0" w:line="261"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of our other covenants in such Indenture (other than a covenant included in such Indenture solely for the benefit of a series other than that series), continued for 60 days after written notice has been given by the applicable Trustee, or the Holders of at least 25% in principal amount of the Outstanding debt securities of that series, as provided in such Indenture; and</w:t>
      </w:r>
    </w:p>
    <w:p>
      <w:pPr>
        <w:spacing w:after="0" w:line="112" w:lineRule="exact"/>
        <w:rPr>
          <w:rFonts w:ascii="Times New Roman" w:cs="Times New Roman" w:eastAsia="Times New Roman" w:hAnsi="Times New Roman"/>
          <w:sz w:val="18"/>
          <w:szCs w:val="18"/>
          <w:color w:val="auto"/>
        </w:rPr>
      </w:pPr>
    </w:p>
    <w:p>
      <w:pPr>
        <w:ind w:left="1980" w:right="1179" w:hanging="360"/>
        <w:spacing w:after="0" w:line="282"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affecting us or any Significant Subsidiary (as will be defined therein).</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an Event of Default (other than an Event of Default with respect to the Company described in clause</w:t>
      </w:r>
    </w:p>
    <w:p>
      <w:pPr>
        <w:spacing w:after="0" w:line="27" w:lineRule="exact"/>
        <w:rPr>
          <w:sz w:val="20"/>
          <w:szCs w:val="20"/>
          <w:color w:val="auto"/>
        </w:rPr>
      </w:pPr>
    </w:p>
    <w:p>
      <w:pPr>
        <w:ind w:left="1260" w:right="499"/>
        <w:spacing w:after="0" w:line="250" w:lineRule="auto"/>
        <w:tabs>
          <w:tab w:leader="none" w:pos="15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If an Event of Default with respect to the Company described in clause</w:t>
      </w:r>
    </w:p>
    <w:p>
      <w:pPr>
        <w:spacing w:after="0" w:line="2" w:lineRule="exact"/>
        <w:rPr>
          <w:rFonts w:ascii="Times New Roman" w:cs="Times New Roman" w:eastAsia="Times New Roman" w:hAnsi="Times New Roman"/>
          <w:sz w:val="18"/>
          <w:szCs w:val="18"/>
          <w:color w:val="auto"/>
        </w:rPr>
      </w:pPr>
    </w:p>
    <w:p>
      <w:pPr>
        <w:ind w:left="1260" w:right="559"/>
        <w:spacing w:after="0" w:line="251" w:lineRule="auto"/>
        <w:tabs>
          <w:tab w:leader="none" w:pos="15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For information as to waiver of defaults, see “Modification and Waiver” below.</w:t>
      </w:r>
    </w:p>
    <w:p>
      <w:pPr>
        <w:spacing w:after="0" w:line="34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 default under other indebtedness of the Company will not be a default under the Indentures and a default under one series of debt securities will not necessarily be a default under another series. Any additions, deletions or other changes to the Events of Default which will apply to a series of debt securities will be described in the prospectus supplement relating to such series of debt securities.</w:t>
      </w:r>
    </w:p>
    <w:p>
      <w:pPr>
        <w:spacing w:after="0" w:line="11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Under the Indentures, the Trustee must give to the Holders of each series of debt securities notice of all uncured defaults known to it with respect to such series within 90 days after such a default occurs (the term default to include the events specified above without notice or grace periods). However, except in the case of default in the payment of principal of, any premium on, or any interest on any of the debt securities, or default in the payment of any sinking or purchase fund installment or analogous obligations, the Trustee shall be protected in withholding such notice if it in good faith determines that the withholding of such notice is in the interests of the holders of the debt securities of such series.</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Subject to the provisions of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indemnity.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337"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No Holder of a debt security of any series will have any right to institute any proceeding with respect to the applicable Indenture, or for the appointment of a receiver or a Trustee, or for any other remedy thereunder, unless:</w:t>
      </w:r>
    </w:p>
    <w:p>
      <w:pPr>
        <w:spacing w:after="0" w:line="108" w:lineRule="exact"/>
        <w:rPr>
          <w:sz w:val="20"/>
          <w:szCs w:val="20"/>
          <w:color w:val="auto"/>
        </w:rPr>
      </w:pPr>
    </w:p>
    <w:p>
      <w:pPr>
        <w:ind w:left="1980" w:right="519" w:hanging="360"/>
        <w:spacing w:after="0" w:line="28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under the applicable Indenture written notice of a continuing Event of Default with respect to the debt securities of that series;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7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108" w:lineRule="exact"/>
        <w:rPr>
          <w:rFonts w:ascii="Times New Roman" w:cs="Times New Roman" w:eastAsia="Times New Roman" w:hAnsi="Times New Roman"/>
          <w:sz w:val="18"/>
          <w:szCs w:val="18"/>
          <w:color w:val="auto"/>
        </w:rPr>
      </w:pPr>
    </w:p>
    <w:p>
      <w:pPr>
        <w:ind w:left="1980" w:right="83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w:t>
      </w:r>
    </w:p>
    <w:p>
      <w:pPr>
        <w:spacing w:after="0" w:line="95"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w:t>
      </w:r>
    </w:p>
    <w:p>
      <w:pPr>
        <w:spacing w:after="0" w:line="10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We and the Trustee may, without the consent of the Holders of the debt securities, enter into one or more Supplemental Indentures for, among others, one or more of the following purposes, provided that in the case of clauses (2), (3), (4) and (6), the interests of the Holders of debt securities would not be adversely affected:</w:t>
      </w:r>
    </w:p>
    <w:p>
      <w:pPr>
        <w:spacing w:after="0" w:line="309" w:lineRule="exact"/>
        <w:rPr>
          <w:sz w:val="20"/>
          <w:szCs w:val="20"/>
          <w:color w:val="auto"/>
        </w:rPr>
      </w:pPr>
    </w:p>
    <w:p>
      <w:pPr>
        <w:ind w:left="1980" w:right="59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of our obligations under the applicable Indenture and the debt securities of any series;</w:t>
      </w:r>
    </w:p>
    <w:p>
      <w:pPr>
        <w:spacing w:after="0" w:line="80"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by us, or surrender any of our rights conferred by the applicable Indenture, for the benefit of the Holders of debt securities of any or all series;</w:t>
      </w:r>
    </w:p>
    <w:p>
      <w:pPr>
        <w:spacing w:after="0" w:line="94" w:lineRule="exact"/>
        <w:rPr>
          <w:rFonts w:ascii="Times New Roman" w:cs="Times New Roman" w:eastAsia="Times New Roman" w:hAnsi="Times New Roman"/>
          <w:sz w:val="18"/>
          <w:szCs w:val="18"/>
          <w:color w:val="auto"/>
        </w:rPr>
      </w:pPr>
    </w:p>
    <w:p>
      <w:pPr>
        <w:ind w:left="1980" w:right="89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 in or make any other provision with respect to questions arising under the applicable Indenture;</w:t>
      </w:r>
    </w:p>
    <w:p>
      <w:pPr>
        <w:spacing w:after="0" w:line="80" w:lineRule="exact"/>
        <w:rPr>
          <w:rFonts w:ascii="Times New Roman" w:cs="Times New Roman" w:eastAsia="Times New Roman" w:hAnsi="Times New Roman"/>
          <w:sz w:val="18"/>
          <w:szCs w:val="18"/>
          <w:color w:val="auto"/>
        </w:rPr>
      </w:pPr>
    </w:p>
    <w:p>
      <w:pPr>
        <w:ind w:left="1980" w:right="117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series of debt securities, including any subordinated securities;</w:t>
      </w:r>
    </w:p>
    <w:p>
      <w:pPr>
        <w:spacing w:after="0" w:line="80" w:lineRule="exact"/>
        <w:rPr>
          <w:rFonts w:ascii="Times New Roman" w:cs="Times New Roman" w:eastAsia="Times New Roman" w:hAnsi="Times New Roman"/>
          <w:sz w:val="18"/>
          <w:szCs w:val="18"/>
          <w:color w:val="auto"/>
        </w:rPr>
      </w:pPr>
    </w:p>
    <w:p>
      <w:pPr>
        <w:jc w:val="both"/>
        <w:ind w:left="1980" w:right="599" w:hanging="360"/>
        <w:spacing w:after="0" w:line="26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any successor Trustee with respect to one or more series of debt securities or to facilitate the administration of the trusts thereunder by one or more Trustees in accordance with the applicable Indenture; and</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additional Events of Default.</w:t>
      </w:r>
    </w:p>
    <w:p>
      <w:pPr>
        <w:spacing w:after="0" w:line="14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Modifications and amendments of an Indenture may be made by us and the applicable Trustee with the consent of the Holders of a majority in principal amount of the Outstanding debt securities of each series affected by such modification or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modification or amendment may, without the consent of the Holder of each Outstanding debt security affected thereby:</w:t>
      </w:r>
    </w:p>
    <w:p>
      <w:pPr>
        <w:spacing w:after="0" w:line="110" w:lineRule="exact"/>
        <w:rPr>
          <w:sz w:val="20"/>
          <w:szCs w:val="20"/>
          <w:color w:val="auto"/>
        </w:rPr>
      </w:pPr>
    </w:p>
    <w:p>
      <w:pPr>
        <w:ind w:left="1980" w:right="43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on, any debt security;</w:t>
      </w:r>
    </w:p>
    <w:p>
      <w:pPr>
        <w:spacing w:after="0" w:line="157"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or any other debt security payable upon acceleration of the Maturity thereof;</w:t>
      </w:r>
    </w:p>
    <w:p>
      <w:pPr>
        <w:spacing w:after="0" w:line="80"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any debt security;</w:t>
      </w:r>
    </w:p>
    <w:p>
      <w:pPr>
        <w:spacing w:after="0" w:line="80"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due on or any conversion right with respect to any debt security;</w:t>
      </w:r>
    </w:p>
    <w:p>
      <w:pPr>
        <w:spacing w:after="0" w:line="94" w:lineRule="exact"/>
        <w:rPr>
          <w:rFonts w:ascii="Times New Roman" w:cs="Times New Roman" w:eastAsia="Times New Roman" w:hAnsi="Times New Roman"/>
          <w:sz w:val="18"/>
          <w:szCs w:val="18"/>
          <w:color w:val="auto"/>
        </w:rPr>
      </w:pPr>
    </w:p>
    <w:p>
      <w:pPr>
        <w:ind w:left="1980" w:right="579" w:hanging="360"/>
        <w:spacing w:after="0" w:line="266"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case of subordinated debt securities, or modify any conversion provisions, in either case in a manner adverse to the Holders of the subordinated debt securities;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hanging="360"/>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the consent of whose Holders is required for modification or amendment of the Indenture;</w:t>
      </w:r>
    </w:p>
    <w:p>
      <w:pPr>
        <w:spacing w:after="0" w:line="94" w:lineRule="exact"/>
        <w:rPr>
          <w:rFonts w:ascii="Times New Roman" w:cs="Times New Roman" w:eastAsia="Times New Roman" w:hAnsi="Times New Roman"/>
          <w:sz w:val="18"/>
          <w:szCs w:val="18"/>
          <w:color w:val="auto"/>
        </w:rPr>
      </w:pPr>
    </w:p>
    <w:p>
      <w:pPr>
        <w:ind w:left="1980" w:right="639" w:hanging="360"/>
        <w:spacing w:after="0" w:line="275"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necessary for waiver of compliance with certain provisions of the Indenture or for waiver of certain defaults; or</w:t>
      </w:r>
    </w:p>
    <w:p>
      <w:pPr>
        <w:spacing w:after="0" w:line="3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amendment or waiver.</w:t>
      </w:r>
    </w:p>
    <w:p>
      <w:pPr>
        <w:spacing w:after="0" w:line="15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may waive compliance by us with certain restrictive provisions of the applicable Indenture.</w:t>
      </w:r>
    </w:p>
    <w:p>
      <w:pPr>
        <w:spacing w:after="0" w:line="9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w:t>
      </w:r>
    </w:p>
    <w:p>
      <w:pPr>
        <w:spacing w:after="0" w:line="11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of the Indentures provides that in determining whether the Holders of the requisite principal amount of the Outstanding debt securities have given or taken any direction, notice, consent, waiver or other action under such Indenture as of any date:</w:t>
      </w:r>
    </w:p>
    <w:p>
      <w:pPr>
        <w:spacing w:after="0" w:line="102" w:lineRule="exact"/>
        <w:rPr>
          <w:sz w:val="20"/>
          <w:szCs w:val="20"/>
          <w:color w:val="auto"/>
        </w:rPr>
      </w:pPr>
    </w:p>
    <w:p>
      <w:pPr>
        <w:ind w:left="1980" w:right="479" w:hanging="360"/>
        <w:spacing w:after="0" w:line="266"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94" w:lineRule="exact"/>
        <w:rPr>
          <w:rFonts w:ascii="Times New Roman" w:cs="Times New Roman" w:eastAsia="Times New Roman" w:hAnsi="Times New Roman"/>
          <w:sz w:val="18"/>
          <w:szCs w:val="18"/>
          <w:color w:val="auto"/>
        </w:rPr>
      </w:pPr>
    </w:p>
    <w:p>
      <w:pPr>
        <w:jc w:val="both"/>
        <w:ind w:left="1980" w:right="739" w:hanging="360"/>
        <w:spacing w:after="0" w:line="261"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w:t>
      </w:r>
    </w:p>
    <w:p>
      <w:pPr>
        <w:spacing w:after="0" w:line="112"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w:t>
      </w:r>
    </w:p>
    <w:p>
      <w:pPr>
        <w:spacing w:after="0" w:line="11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Certain debt securities, including those owned by us or any of our other Affiliates, will not be deemed to be Outstanding.</w:t>
      </w:r>
    </w:p>
    <w:p>
      <w:pPr>
        <w:spacing w:after="0" w:line="95"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62"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81" w:lineRule="exact"/>
        <w:rPr>
          <w:sz w:val="20"/>
          <w:szCs w:val="20"/>
          <w:color w:val="auto"/>
        </w:rPr>
      </w:pPr>
    </w:p>
    <w:p>
      <w:pPr>
        <w:ind w:left="1980" w:hanging="360"/>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57" w:lineRule="exact"/>
        <w:rPr>
          <w:rFonts w:ascii="Times New Roman" w:cs="Times New Roman" w:eastAsia="Times New Roman" w:hAnsi="Times New Roman"/>
          <w:sz w:val="18"/>
          <w:szCs w:val="18"/>
          <w:color w:val="auto"/>
        </w:rPr>
      </w:pPr>
    </w:p>
    <w:p>
      <w:pPr>
        <w:ind w:left="2340" w:right="519" w:hanging="360"/>
        <w:spacing w:after="0" w:line="261" w:lineRule="auto"/>
        <w:tabs>
          <w:tab w:leader="none" w:pos="2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39" w:hanging="360"/>
        <w:spacing w:after="0" w:line="255" w:lineRule="auto"/>
        <w:tabs>
          <w:tab w:leader="none" w:pos="23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337"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with respect to the debt securities of that series; and</w:t>
      </w:r>
    </w:p>
    <w:p>
      <w:pPr>
        <w:spacing w:after="0" w:line="94"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each stating that all conditions precedent to satisfaction and discharge of the Indenture with respect to the debt securities of that series have been satisfied.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Times New Roman" w:cs="Times New Roman" w:eastAsia="Times New Roman" w:hAnsi="Times New Roman"/>
          <w:sz w:val="18"/>
          <w:szCs w:val="18"/>
          <w:color w:val="auto"/>
        </w:rPr>
        <w:t>If and to the extent indicated in the applicable prospectus supplement, we may elect, at our option at any time, to have our obligations discharged under the provisions relating to defeasance and discharge of indebtedness, which we call “legal defeasance,” relating to defeasance of certain restrictive covenants applied to the debt securities of any series, or to any specified part of a series, which we call “covenant defeasance.”</w:t>
      </w:r>
    </w:p>
    <w:p>
      <w:pPr>
        <w:spacing w:after="0" w:line="33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Indentures provide that, upon our exercise of our option (if any) to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defeasance provisions applied to any debt securities, we 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w:t>
      </w:r>
    </w:p>
    <w:p>
      <w:pPr>
        <w:spacing w:after="0" w:line="342" w:lineRule="exact"/>
        <w:rPr>
          <w:sz w:val="20"/>
          <w:szCs w:val="20"/>
          <w:color w:val="auto"/>
        </w:rPr>
      </w:pPr>
    </w:p>
    <w:p>
      <w:pPr>
        <w:ind w:left="1980" w:right="419" w:hanging="360"/>
        <w:spacing w:after="0" w:line="256"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335" w:lineRule="exact"/>
        <w:rPr>
          <w:rFonts w:ascii="Times New Roman" w:cs="Times New Roman" w:eastAsia="Times New Roman" w:hAnsi="Times New Roman"/>
          <w:sz w:val="18"/>
          <w:szCs w:val="18"/>
          <w:color w:val="auto"/>
        </w:rPr>
      </w:pPr>
    </w:p>
    <w:p>
      <w:pPr>
        <w:ind w:left="1980" w:right="439" w:hanging="360"/>
        <w:spacing w:after="0" w:line="261"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(6) under “Events of Default,” at any time until 121 days after such deposit;</w:t>
      </w:r>
    </w:p>
    <w:p>
      <w:pPr>
        <w:spacing w:after="0" w:line="112"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and legal defeasance will not result in a breach or violation of, or constitute a default under, any agreement or instrument to which we are a party or by which we are bound;</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7"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79" w:hanging="360"/>
        <w:spacing w:after="0" w:line="275"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Opinion of Counsel to the effect that such deposit shall not cause the Trustee or the trust so created to be subject to the Investment Company Act of 1940, as amended.</w:t>
      </w:r>
    </w:p>
    <w:p>
      <w:pPr>
        <w:spacing w:after="0" w:line="32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Covenant Defeasance. </w:t>
      </w:r>
      <w:r>
        <w:rPr>
          <w:rFonts w:ascii="Times New Roman" w:cs="Times New Roman" w:eastAsia="Times New Roman" w:hAnsi="Times New Roman"/>
          <w:sz w:val="18"/>
          <w:szCs w:val="18"/>
          <w:color w:val="auto"/>
        </w:rPr>
        <w:t>The Indentures provide that, upon our exercise of our option (if any) to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covenant defeasance provisions applied to any debt securities, we may omit to comply with certain restrictive covenants (but not to conversion, if applicable), including those that may be described in the applicable prospectus supplement, the occurrence of certain Events of Default, which are described above in clause (5) (with respect to such restrictive covenants) and clause (6) (with respect only to Significant Subsidiaries) under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w:t>
      </w:r>
    </w:p>
    <w:p>
      <w:pPr>
        <w:spacing w:after="0" w:line="33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If we exercise either our legal defeasance or covenant defeasance option, any subsidiary guarantees will terminate.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Notices to Holders of debt securities will be given by mail to the addresses of such Holders as they may appear in the Security Register.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162"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the Trustees and any agent of us or a Trustee may treat the Person in whose name a debt security is registered as the absolute owner of the debt security (whether or not such debt security may be overdue) for the purpose of making payment and for all other purposes.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 of the State of New York.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48"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We will enter into the Indentures with a Trustee that is qualified to act under the Trust Indenture Act and with any other Trustees chosen by us and appointed in a supplemental indenture for a particular series of debt securities. We may maintain a banking relationship in the ordinary course of business with our Trustee and one or more of its affiliates.</w:t>
      </w:r>
    </w:p>
    <w:p>
      <w:pPr>
        <w:spacing w:after="0" w:line="110"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Resignation or Removal of Trustee. </w:t>
      </w:r>
      <w:r>
        <w:rPr>
          <w:rFonts w:ascii="Times New Roman" w:cs="Times New Roman" w:eastAsia="Times New Roman" w:hAnsi="Times New Roman"/>
          <w:sz w:val="18"/>
          <w:szCs w:val="18"/>
          <w:color w:val="auto"/>
        </w:rPr>
        <w:t>If the Trustee has or acquires a conflicting interest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of the Trust Indenture Act, the Trustee must either eliminate its conflicting interest or resign, to the extent and in the manner provided by, and subject to the provisions of, the Trust Indenture Act and the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99"/>
        <w:spacing w:after="0" w:line="282" w:lineRule="auto"/>
        <w:rPr>
          <w:sz w:val="20"/>
          <w:szCs w:val="20"/>
          <w:color w:val="auto"/>
        </w:rPr>
      </w:pPr>
      <w:r>
        <w:rPr>
          <w:rFonts w:ascii="Times New Roman" w:cs="Times New Roman" w:eastAsia="Times New Roman" w:hAnsi="Times New Roman"/>
          <w:sz w:val="18"/>
          <w:szCs w:val="18"/>
          <w:color w:val="auto"/>
        </w:rPr>
        <w:t>applicable Indenture. Any resignation will require the appointment of a successor Trustee under the applicable Indenture in accordance with the terms and conditions of such Indenture.</w:t>
      </w:r>
    </w:p>
    <w:p>
      <w:pPr>
        <w:spacing w:after="0" w:line="9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10" w:lineRule="exact"/>
        <w:rPr>
          <w:sz w:val="20"/>
          <w:szCs w:val="20"/>
          <w:color w:val="auto"/>
        </w:rPr>
      </w:pPr>
    </w:p>
    <w:p>
      <w:pPr>
        <w:ind w:left="1260" w:right="6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Limitations on Trustee if It Is Our Creditor. </w:t>
      </w:r>
      <w:r>
        <w:rPr>
          <w:rFonts w:ascii="Times New Roman" w:cs="Times New Roman" w:eastAsia="Times New Roman" w:hAnsi="Times New Roman"/>
          <w:sz w:val="18"/>
          <w:szCs w:val="18"/>
          <w:color w:val="auto"/>
        </w:rPr>
        <w:t>Each Indenture will contain certain limitations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of the Trustee, in the event that it becomes our creditor, to obtain payment of claims in certain cases, or to realize on certain property received in respect of any such claim as security or otherwise.</w:t>
      </w:r>
    </w:p>
    <w:p>
      <w:pPr>
        <w:spacing w:after="0" w:line="92"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Certificates and Opinions to Be Furnished to Trustee. </w:t>
      </w:r>
      <w:r>
        <w:rPr>
          <w:rFonts w:ascii="Times New Roman" w:cs="Times New Roman" w:eastAsia="Times New Roman" w:hAnsi="Times New Roman"/>
          <w:sz w:val="18"/>
          <w:szCs w:val="18"/>
          <w:color w:val="auto"/>
        </w:rPr>
        <w:t>Each Indenture will provide that, in addition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certificates or opinions that may be specifically required by other provisions of an Indenture, every application by us for action by the Trustee must be accompanied by an Officers’ Certificate and an Opinion of Counsel stating that, in the opinion of the signers, all conditions precedent to such action have been complied with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securities offered by this prospectus and applicable prospectus supplements may be sold from time to time in one or more of the following ways:</w:t>
      </w:r>
    </w:p>
    <w:p>
      <w:pPr>
        <w:spacing w:after="0" w:line="54"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1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to or through a market maker or into an existing trading market, or a securities exchange or otherwise;</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 by any other legally available means.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applicable prospectus supplement relating to the securities will set forth:</w:t>
      </w:r>
    </w:p>
    <w:p>
      <w:pPr>
        <w:spacing w:after="0" w:line="117"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offering terms, including the name or names of any underwriters, dealers or agents;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from such sale;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compensation to underwriters, dealers or agents;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by underwriters or dealers to other dealers;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58"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offer and sale of the securities described in this prospectus and applicable prospectus supplement by us or the underwriters or the third parties described above may be effected from time to time in one or more transactions, including privately negotiated transactions, either:</w:t>
      </w:r>
    </w:p>
    <w:p>
      <w:pPr>
        <w:spacing w:after="0" w:line="61"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 including in “at the market offerings”;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4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may enter into derivative, hedging, forward sale, option or other types of transactions with third parties, or sell securities not covered by this prospectus to third parties, through a stock exchange, including block trades or ordinary broker’s transactions, or through broker-dealers acting either as principal or agent, or through an underwritten public offering, through privately negotiated transactions or through a combination of any such methods of sale.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or hedge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will bear costs relating to all of the securities being registered under the registration statement of which this prospectus forms a part.</w:t>
      </w:r>
    </w:p>
    <w:p>
      <w:pPr>
        <w:spacing w:after="0" w:line="81"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We may have agreements with the agents, dealers and underwriters to indemnify them against civil liabilities, including liabilities under the Securities Act, or to contribute with respect to payments that the agents, dealers or underwriters may be required to make. Agents, dealers and underwriters may engage in transactions with us or perform services for us in the ordinary course of their businesses.</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62"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w:t>
      </w:r>
    </w:p>
    <w:p>
      <w:pPr>
        <w:spacing w:after="0" w:line="2"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conditions, and the underwriters will be obligated to purchase all the securities if they purchase any securities. The underwriters may change from time to time any initial public offering price and any discounts or concessions allowed or reallowed or paid to dealers.</w:t>
      </w:r>
    </w:p>
    <w:p>
      <w:pPr>
        <w:spacing w:after="0" w:line="11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 allotment and stabilizing transactions and purchases to cover syndicate short positions created in connection with the offering. The underwriters may also impose a penalty bid, whereby selling concessions allowed to syndicate members or other broker-dealers for the offered securities sold for their account may be reclaimed by the syndicate if such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these activities may be discontinued at any time.</w:t>
      </w:r>
    </w:p>
    <w:p>
      <w:pPr>
        <w:spacing w:after="0" w:line="328"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If we use dealers in the sale of securities, we will sell the securities to them as principals. They may then resell the securities to the public at varying prices determined by the dealers at the time of resale. The dealers participating in any sale of the securities may be deemed to be underwriters within the meaning of the Securities Act with respect to any sale of the securities. We will include in any prospectus supplement the names of the dealers and the terms of the transactions.</w:t>
      </w:r>
    </w:p>
    <w:p>
      <w:pPr>
        <w:spacing w:after="0" w:line="11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Any broker-dealers or other persons acting on our behalf that participate with us in the distribution of the securities may be deemed to be underwriters and any commissions received or profit realized by them on the resale of the securities may be deemed to be underwriting discounts and commissions under the Securities Act. As of the date of this prospectus, we are not a party to any agreement, arrangement or understanding between any broker or dealer and us with respect to the offer or sale of the securities pursuant to this prospectus.</w:t>
      </w:r>
    </w:p>
    <w:p>
      <w:pPr>
        <w:spacing w:after="0" w:line="325"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Pursuant to a requirement by the Financial Industry Regulatory Authority, or FINRA, the maximum commission or discount to be received by any FINRA member or independent broker-dealer may not be greater than 8% of the gross proceeds received by us for the sale of any securities being registered pursuant to SEC Rule 415 under the Securities Act. If more than 5% of the net proceeds of any offering of securities made under this prospectus will be received by a FINRA member participating in the offering or its affiliates or associated persons of such FINRA member, the offering will be conducted in accordance with FINRA Conduct Rule 5110(h).</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62"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sell the securities directly. In that event, no underwriters or agents would be involved. We may also sell the securities through agents we designate from time to time. In the prospectus supplement, we will name any agent involved in the offer or sale of the securities, and we will describe any commissions</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payable by us to the agent. Unless we inform you otherwise in the prospectus supplement, any agent will agree to use its reasonable best efforts to solicit purchases for the period of its appointment.</w:t>
      </w:r>
    </w:p>
    <w:p>
      <w:pPr>
        <w:spacing w:after="0" w:line="94"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the securities. We will describe the terms of any such sales in the prospectus supplement.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62"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Subscription Offerings</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Mayer Brown LLP, will pass on the validity of certain of the securities offered by this prospectus. Fennemore Craig, P.C., Reno, Nevada, will issue an opinion about certain Nevada law matters in connection with certain of the securities offered by this prospectus. Any underwriters, dealers or agents will be advised about legal matters relating to any offering by their own legal counsel, which will be named in the related prospectus supplement.</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Evolution Petroleum Corporation incorporated in this prospectus by reference from the Company’s Annual Report on Form 10-K for the year ended June 30, 2025, have been audited by Baker Tilly US, LLP, an independent registered public accounting firm, as stated in their report.</w:t>
      </w:r>
    </w:p>
    <w:p>
      <w:pPr>
        <w:spacing w:after="0" w:line="1" w:lineRule="exact"/>
        <w:rPr>
          <w:sz w:val="20"/>
          <w:szCs w:val="20"/>
          <w:color w:val="auto"/>
        </w:rPr>
      </w:pPr>
    </w:p>
    <w:p>
      <w:pPr>
        <w:ind w:left="1260" w:right="779"/>
        <w:spacing w:after="0" w:line="260" w:lineRule="auto"/>
        <w:rPr>
          <w:sz w:val="20"/>
          <w:szCs w:val="20"/>
          <w:color w:val="auto"/>
        </w:rPr>
      </w:pPr>
      <w:r>
        <w:rPr>
          <w:rFonts w:ascii="Times New Roman" w:cs="Times New Roman" w:eastAsia="Times New Roman" w:hAnsi="Times New Roman"/>
          <w:sz w:val="18"/>
          <w:szCs w:val="18"/>
          <w:color w:val="auto"/>
        </w:rPr>
        <w:t>Such consolidated financial statements are incorporated by reference in reliance upon the report of such firm given their authority as experts in accounting and auditing.</w:t>
      </w:r>
    </w:p>
    <w:p>
      <w:pPr>
        <w:spacing w:after="0" w:line="10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Certain estimates of the oil and gas reserves for Evolution Petroleum Corporation and subsidiaries and related future net cash flows and the present values thereof incorporated by reference in this prospectus were based in part upon engineering reports prepared by DeGolyer and MacNaughton and Cawley, Gillespie and Associates, Inc., both independent petroleum engineers. These estimates are included and incorporated herein in reliance on the authority of such firm as an expert in such matters.</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Exchange Act, and, in accordance therewith, file periodic reports, proxy statements and other information with the SEC. Such periodic reports, proxy statements and other information are available at the website of the SEC at http://www.sec.gov. We also furnish our stockholders with annual reports containing our financial statements audited by an independent registered public accounting firm and quarterly reports containing our unaudited financial information. We maintain a website at www.evolutionpetroleum.com. You may access our Annual Report on Form 10-K, Quarterly Reports on Form 10-Q, Current Reports on Form 8-K and amendments to those reports, filed or furnished pursuant to Section 13(a) or 15(d) of the Exchange Act with the SEC, free of charge at our website as soon as reasonably practicable after this material is electronically filed with, or furnished to, the SEC. Information contained on, or that is or becomes accessible through, our website does not constitute a part of this prospectus. The reference to our website or web address does not constitute incorporation by reference of the information contained at that site.</w:t>
      </w:r>
    </w:p>
    <w:p>
      <w:pPr>
        <w:spacing w:after="0" w:line="118"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the applicable prospectus supplement. We have not authorized anyone else to provide you with additional or different information. We may only use this prospectus to sell securities if it is accompanied by a prospectus supplement. We are only offering these securities in states where the offer is permitted. You should not assume that the information in this prospectus or the applicable prospectus supplement is accurate as of any date other than the dates on the front of these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are incorporating by reference in this prospectus the documents that we file with the SEC. This means that we are disclosing important information to you by referring to these filings. The information we incorporate by reference is considered a part of this prospectus, and subsequent information that we file with the SEC will automatically update and supersede this information.</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other subsequently filed document that is considered to be incorporated by reference in this prospectus modifies or supersedes such statement.</w:t>
      </w:r>
    </w:p>
    <w:p>
      <w:pPr>
        <w:spacing w:after="0" w:line="99"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incorporate by reference the following documents that we have filed with the SEC (in each case, other than any portions of any such documents that are not deemed “filed” under the Exchange Act in accordance with the Exchange Act and applicable SEC rules):</w:t>
      </w:r>
    </w:p>
    <w:p>
      <w:pPr>
        <w:spacing w:after="0" w:line="68" w:lineRule="exact"/>
        <w:rPr>
          <w:sz w:val="20"/>
          <w:szCs w:val="20"/>
          <w:color w:val="auto"/>
        </w:rPr>
      </w:pPr>
    </w:p>
    <w:p>
      <w:pPr>
        <w:ind w:left="1800" w:right="579" w:hanging="180"/>
        <w:spacing w:after="0" w:line="261" w:lineRule="auto"/>
        <w:tabs>
          <w:tab w:leader="none" w:pos="1800" w:val="left"/>
        </w:tabs>
        <w:numPr>
          <w:ilvl w:val="0"/>
          <w:numId w:val="36"/>
        </w:numPr>
        <w:rPr>
          <w:rFonts w:ascii="Times New Roman" w:cs="Times New Roman" w:eastAsia="Times New Roman" w:hAnsi="Times New Roman"/>
          <w:sz w:val="18"/>
          <w:szCs w:val="18"/>
          <w:color w:val="000000"/>
        </w:rPr>
      </w:pPr>
      <w:hyperlink r:id="rId89">
        <w:r>
          <w:rPr>
            <w:rFonts w:ascii="Times New Roman" w:cs="Times New Roman" w:eastAsia="Times New Roman" w:hAnsi="Times New Roman"/>
            <w:sz w:val="18"/>
            <w:szCs w:val="18"/>
            <w:u w:val="single" w:color="auto"/>
            <w:color w:val="0000EE"/>
          </w:rPr>
          <w:t>Annual Report on Form 10-K for the fiscal year ended June 30, 2025, filed on September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including information specifically incorporated by reference into our Annual Report on Form 10-K from our </w:t>
      </w:r>
      <w:hyperlink r:id="rId90">
        <w:r>
          <w:rPr>
            <w:rFonts w:ascii="Times New Roman" w:cs="Times New Roman" w:eastAsia="Times New Roman" w:hAnsi="Times New Roman"/>
            <w:sz w:val="18"/>
            <w:szCs w:val="18"/>
            <w:u w:val="single" w:color="auto"/>
            <w:color w:val="0000EE"/>
          </w:rPr>
          <w:t>Definitive Proxy Statement on Schedule 14A, filed on October 23, 2025</w:t>
        </w:r>
      </w:hyperlink>
      <w:r>
        <w:rPr>
          <w:rFonts w:ascii="Times New Roman" w:cs="Times New Roman" w:eastAsia="Times New Roman" w:hAnsi="Times New Roman"/>
          <w:sz w:val="18"/>
          <w:szCs w:val="18"/>
          <w:color w:val="000000"/>
        </w:rPr>
        <w:t>, for our Annual Meeting of Stockholders held on December 4, 2025;</w:t>
      </w:r>
    </w:p>
    <w:p>
      <w:pPr>
        <w:spacing w:after="0" w:line="71" w:lineRule="exact"/>
        <w:rPr>
          <w:rFonts w:ascii="Times New Roman" w:cs="Times New Roman" w:eastAsia="Times New Roman" w:hAnsi="Times New Roman"/>
          <w:sz w:val="18"/>
          <w:szCs w:val="18"/>
          <w:color w:val="000000"/>
        </w:rPr>
      </w:pPr>
    </w:p>
    <w:p>
      <w:pPr>
        <w:ind w:left="1800" w:right="1359" w:hanging="180"/>
        <w:spacing w:after="0" w:line="282" w:lineRule="auto"/>
        <w:tabs>
          <w:tab w:leader="none" w:pos="1800" w:val="left"/>
        </w:tabs>
        <w:numPr>
          <w:ilvl w:val="0"/>
          <w:numId w:val="36"/>
        </w:numPr>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Quarterly Report on Form 10-Q for the fiscal quarter ended September 30, 2025, filed on</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November 12, 2025;</w:t>
        </w:r>
      </w:hyperlink>
    </w:p>
    <w:p>
      <w:pPr>
        <w:spacing w:after="0" w:line="53" w:lineRule="exact"/>
        <w:rPr>
          <w:rFonts w:ascii="Times New Roman" w:cs="Times New Roman" w:eastAsia="Times New Roman" w:hAnsi="Times New Roman"/>
          <w:sz w:val="18"/>
          <w:szCs w:val="18"/>
          <w:u w:val="single" w:color="auto"/>
          <w:color w:val="0000EE"/>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on </w:t>
      </w:r>
      <w:hyperlink r:id="rId92">
        <w:r>
          <w:rPr>
            <w:rFonts w:ascii="Times New Roman" w:cs="Times New Roman" w:eastAsia="Times New Roman" w:hAnsi="Times New Roman"/>
            <w:sz w:val="18"/>
            <w:szCs w:val="18"/>
            <w:u w:val="single" w:color="auto"/>
            <w:color w:val="0000EE"/>
          </w:rPr>
          <w:t>November 12,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3">
        <w:r>
          <w:rPr>
            <w:rFonts w:ascii="Times New Roman" w:cs="Times New Roman" w:eastAsia="Times New Roman" w:hAnsi="Times New Roman"/>
            <w:sz w:val="18"/>
            <w:szCs w:val="18"/>
            <w:u w:val="single" w:color="auto"/>
            <w:color w:val="0000EE"/>
          </w:rPr>
          <w:t>December 9, 2025</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6"/>
        </w:numPr>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auto"/>
          </w:rPr>
          <w:t xml:space="preserve">The description of the Company’s common stock contained in its registration statement on </w:t>
        </w:r>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filed on July 13, 2006</w:t>
        </w:r>
        <w:r>
          <w:rPr>
            <w:rFonts w:ascii="Times New Roman" w:cs="Times New Roman" w:eastAsia="Times New Roman" w:hAnsi="Times New Roman"/>
            <w:sz w:val="18"/>
            <w:szCs w:val="18"/>
            <w:color w:val="000000"/>
          </w:rPr>
          <w:t>, and any amendment or report that may be filed from time to time for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purpose of updating, changing or modifying the description of the Company’s common stock.</w:t>
      </w:r>
    </w:p>
    <w:p>
      <w:pPr>
        <w:spacing w:after="0" w:line="108" w:lineRule="exact"/>
        <w:rPr>
          <w:rFonts w:ascii="Times New Roman" w:cs="Times New Roman" w:eastAsia="Times New Roman" w:hAnsi="Times New Roman"/>
          <w:sz w:val="18"/>
          <w:szCs w:val="18"/>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In addition, we incorporate by reference into this prospectus, any future filings we make with the SEC under Sections 13(a), 13(c), 14 or 15(d) of the Exchange Act, (i) following the date of the registration statement that contains this prospectus but prior to the effectiveness of such registration statement or</w:t>
      </w:r>
    </w:p>
    <w:p>
      <w:pPr>
        <w:spacing w:after="0" w:line="1" w:lineRule="exact"/>
        <w:rPr>
          <w:rFonts w:ascii="Times New Roman" w:cs="Times New Roman" w:eastAsia="Times New Roman" w:hAnsi="Times New Roman"/>
          <w:sz w:val="18"/>
          <w:szCs w:val="18"/>
          <w:color w:val="auto"/>
        </w:rPr>
      </w:pPr>
    </w:p>
    <w:p>
      <w:pPr>
        <w:ind w:left="1260" w:right="519"/>
        <w:spacing w:after="0" w:line="253" w:lineRule="auto"/>
        <w:tabs>
          <w:tab w:leader="none" w:pos="15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this prospectus and prior to the time that we sell all the securities offered by this prospectus or each offering under this prospectus is otherwise terminated (in each case, other than any portions of any such documents that are not deemed “filed” under the Exchange Act in accordance with the Exchange Act and applicable SEC rules).</w:t>
      </w:r>
    </w:p>
    <w:p>
      <w:pPr>
        <w:spacing w:after="0" w:line="121" w:lineRule="exact"/>
        <w:rPr>
          <w:rFonts w:ascii="Times New Roman" w:cs="Times New Roman" w:eastAsia="Times New Roman" w:hAnsi="Times New Roman"/>
          <w:sz w:val="18"/>
          <w:szCs w:val="18"/>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a copy of any or all of the foregoing documents incorporated herein by reference (other than exhibits unless such exhibits are specifically incorporated by reference in such documents). Requests for copies should be directed to Ryan Stash, Senior Vice President, Chief Financial Officer and Treasurer, Evolution Petroleum Corporation, 1155 Dairy Ashford Road, Suite 425, Houston, Texas 77079, telephone (713) 935-0122.</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1039495</wp:posOffset>
            </wp:positionV>
            <wp:extent cx="1585595" cy="419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15855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32"/>
          <w:szCs w:val="32"/>
          <w:b w:val="1"/>
          <w:bCs w:val="1"/>
          <w:color w:val="auto"/>
        </w:rPr>
        <w:t>Evolution Petroleum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3619"/>
        <w:spacing w:after="0"/>
        <w:rPr>
          <w:sz w:val="20"/>
          <w:szCs w:val="20"/>
          <w:color w:val="auto"/>
        </w:rPr>
      </w:pPr>
      <w:r>
        <w:rPr>
          <w:rFonts w:ascii="Times New Roman" w:cs="Times New Roman" w:eastAsia="Times New Roman" w:hAnsi="Times New Roman"/>
          <w:sz w:val="25"/>
          <w:szCs w:val="25"/>
          <w:b w:val="1"/>
          <w:bCs w:val="1"/>
          <w:color w:val="auto"/>
        </w:rPr>
        <w:t>Up to $30,000,000</w:t>
      </w:r>
    </w:p>
    <w:p>
      <w:pPr>
        <w:spacing w:after="0" w:line="30" w:lineRule="exact"/>
        <w:rPr>
          <w:sz w:val="20"/>
          <w:szCs w:val="20"/>
          <w:color w:val="auto"/>
        </w:rPr>
      </w:pPr>
    </w:p>
    <w:p>
      <w:pPr>
        <w:jc w:val="right"/>
        <w:ind w:right="37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399"/>
        <w:spacing w:after="0"/>
        <w:tabs>
          <w:tab w:leader="none" w:pos="4840" w:val="left"/>
          <w:tab w:leader="none" w:pos="760" w:val="left"/>
        </w:tabs>
        <w:rPr>
          <w:sz w:val="20"/>
          <w:szCs w:val="20"/>
          <w:color w:val="auto"/>
        </w:rPr>
      </w:pPr>
      <w:r>
        <w:rPr>
          <w:rFonts w:ascii="Times New Roman" w:cs="Times New Roman" w:eastAsia="Times New Roman" w:hAnsi="Times New Roman"/>
          <w:sz w:val="29"/>
          <w:szCs w:val="29"/>
          <w:b w:val="1"/>
          <w:bCs w:val="1"/>
          <w:color w:val="auto"/>
        </w:rPr>
        <w:t>Roth Capital Partners</w:t>
      </w:r>
      <w:r>
        <w:rPr>
          <w:sz w:val="20"/>
          <w:szCs w:val="20"/>
          <w:color w:val="auto"/>
        </w:rPr>
        <w:tab/>
      </w:r>
      <w:r>
        <w:rPr>
          <w:rFonts w:ascii="Times New Roman" w:cs="Times New Roman" w:eastAsia="Times New Roman" w:hAnsi="Times New Roman"/>
          <w:sz w:val="29"/>
          <w:szCs w:val="29"/>
          <w:b w:val="1"/>
          <w:bCs w:val="1"/>
          <w:color w:val="auto"/>
        </w:rPr>
        <w:t>Northland Capital Markets</w:t>
      </w:r>
      <w:r>
        <w:rPr>
          <w:sz w:val="20"/>
          <w:szCs w:val="20"/>
          <w:color w:val="auto"/>
        </w:rPr>
        <w:tab/>
      </w:r>
      <w:r>
        <w:rPr>
          <w:rFonts w:ascii="Times New Roman" w:cs="Times New Roman" w:eastAsia="Times New Roman" w:hAnsi="Times New Roman"/>
          <w:sz w:val="27"/>
          <w:szCs w:val="27"/>
          <w:b w:val="1"/>
          <w:bCs w:val="1"/>
          <w:color w:val="auto"/>
        </w:rPr>
        <w:t>A.G.P.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February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1140460</wp:posOffset>
            </wp:positionV>
            <wp:extent cx="5212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6"/>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4"/>
    </w:lvl>
  </w:abstractNum>
  <w:abstractNum w:abstractNumId="19">
    <w:nsid w:val="836C40E"/>
    <w:multiLevelType w:val="hybridMultilevel"/>
    <w:lvl w:ilvl="0">
      <w:lvlJc w:val="left"/>
      <w:lvlText w:val="(%1)"/>
      <w:numFmt w:val="decimal"/>
      <w:start w:val="6"/>
    </w:lvl>
  </w:abstractNum>
  <w:abstractNum w:abstractNumId="20">
    <w:nsid w:val="2901D82"/>
    <w:multiLevelType w:val="hybridMultilevel"/>
    <w:lvl w:ilvl="0">
      <w:lvlJc w:val="left"/>
      <w:lvlText w:val="(%1)"/>
      <w:numFmt w:val="decimal"/>
      <w:start w:val="6"/>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2"/>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7"/>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lvl w:ilvl="1">
      <w:lvlJc w:val="left"/>
      <w:lvlText w:val="(%2)"/>
      <w:numFmt w:val="lowerLetter"/>
      <w:start w:val="1"/>
    </w:lvl>
  </w:abstractNum>
  <w:abstractNum w:abstractNumId="28">
    <w:nsid w:val="4516DDE9"/>
    <w:multiLevelType w:val="hybridMultilevel"/>
    <w:lvl w:ilvl="0">
      <w:lvlJc w:val="left"/>
      <w:lvlText w:val="%1"/>
      <w:numFmt w:val="decimal"/>
      <w:start w:val="1"/>
    </w:lvl>
    <w:lvl w:ilvl="1">
      <w:lvlJc w:val="left"/>
      <w:lvlText w:val="(%2)"/>
      <w:numFmt w:val="lowerLetter"/>
      <w:start w:val="2"/>
    </w:lvl>
  </w:abstractNum>
  <w:abstractNum w:abstractNumId="29">
    <w:nsid w:val="3006C83E"/>
    <w:multiLevelType w:val="hybridMultilevel"/>
    <w:lvl w:ilvl="0">
      <w:lvlJc w:val="left"/>
      <w:lvlText w:val="(%1)"/>
      <w:numFmt w:val="decimal"/>
      <w:start w:val="2"/>
    </w:lvl>
    <w:lvl w:ilvl="1">
      <w:lvlJc w:val="left"/>
      <w:lvlText w:val="%2"/>
      <w:numFmt w:val="lowerLetter"/>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5"/>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jpe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jpe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35" Type="http://schemas.openxmlformats.org/officeDocument/2006/relationships/hyperlink" Target="https://www.sec.gov/ix?doc=/Archives/edgar/data/1006655/000110465925090839/epm-20250630x10k.htm" TargetMode="External"/><Relationship Id="rId45" Type="http://schemas.openxmlformats.org/officeDocument/2006/relationships/hyperlink" Target="https://www.sec.gov/ix?doc=/Archives/edgar/data/1006655/000110465925101832/epm-20251204xdef14a.htm" TargetMode="External"/><Relationship Id="rId46" Type="http://schemas.openxmlformats.org/officeDocument/2006/relationships/hyperlink" Target="https://www.sec.gov/ix?doc=/Archives/edgar/data/1006655/000110465925110387/epm-20250930x10q.htm" TargetMode="External"/><Relationship Id="rId47" Type="http://schemas.openxmlformats.org/officeDocument/2006/relationships/hyperlink" Target="https://www.sec.gov/ix?doc=/Archives/edgar/data/1006655/000110465926013382/epm-20251231x10q.htm" TargetMode="External"/><Relationship Id="rId48" Type="http://schemas.openxmlformats.org/officeDocument/2006/relationships/hyperlink" Target="https://www.sec.gov/ix?doc=/Archives/edgar/data/1006655/000110465925109555/epm-20251110x8k.htm" TargetMode="External"/><Relationship Id="rId49" Type="http://schemas.openxmlformats.org/officeDocument/2006/relationships/hyperlink" Target="https://www.sec.gov/ix?doc=/Archives/edgar/data/1006655/000110465925119669/epm-20251204x8k.htm" TargetMode="External"/><Relationship Id="rId50" Type="http://schemas.openxmlformats.org/officeDocument/2006/relationships/hyperlink" Target="http://www.sec.gov/ix?doc=/Archives/edgar/data/1006655/000110465926012681/epm-20260209x8k.htm" TargetMode="External"/><Relationship Id="rId51" Type="http://schemas.openxmlformats.org/officeDocument/2006/relationships/hyperlink" Target="https://www.sec.gov/Archives/edgar/data/1006655/000114420406028393/v047518_8-a12b.txt" TargetMode="External"/><Relationship Id="rId89" Type="http://schemas.openxmlformats.org/officeDocument/2006/relationships/hyperlink" Target="http://www.sec.gov/ix?doc=/Archives/edgar/data/1006655/000110465925090839/epm-20250630x10k.htm" TargetMode="External"/><Relationship Id="rId90" Type="http://schemas.openxmlformats.org/officeDocument/2006/relationships/hyperlink" Target="http://www.sec.gov/ix?doc=/Archives/edgar/data/1006655/000110465925101832/epm-20251204xdef14a.htm" TargetMode="External"/><Relationship Id="rId91" Type="http://schemas.openxmlformats.org/officeDocument/2006/relationships/hyperlink" Target="http://www.sec.gov/ix?doc=/Archives/edgar/data/1006655/000110465925110387/epm-20250930x10q.htm" TargetMode="External"/><Relationship Id="rId92" Type="http://schemas.openxmlformats.org/officeDocument/2006/relationships/hyperlink" Target="http://www.sec.gov/ix?doc=/Archives/edgar/data/1006655/000110465925109555/epm-20251110x8k.htm" TargetMode="External"/><Relationship Id="rId93" Type="http://schemas.openxmlformats.org/officeDocument/2006/relationships/hyperlink" Target="http://www.sec.gov/ix?doc=/Archives/edgar/data/1006655/000110465925119669/epm-20251204x8k.htm" TargetMode="External"/><Relationship Id="rId94" Type="http://schemas.openxmlformats.org/officeDocument/2006/relationships/hyperlink" Target="http://www.sec.gov/Archives/edgar/data/1006655/000114420406028393/v047518_8-a12b.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2026-02-11T16:14:09Z</dcterms:created>
  <dcterms:modified xsi:type="dcterms:W3CDTF">2026-02-11T16:14:09Z</dcterms:modified>
</cp:coreProperties>
</file>